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 w:themeColor="accent1" w:themeTint="66"/>
  <w:body>
    <w:p w:rsidR="000E6DA9" w:rsidRDefault="004642D2" w:rsidP="000E6DA9">
      <w:bookmarkStart w:id="0" w:name="_GoBack"/>
      <w:bookmarkEnd w:id="0"/>
      <w:r>
        <w:rPr>
          <w:noProof/>
          <w:lang w:eastAsia="es-PA"/>
        </w:rPr>
        <w:drawing>
          <wp:anchor distT="0" distB="0" distL="114300" distR="114300" simplePos="0" relativeHeight="251660288" behindDoc="1" locked="0" layoutInCell="1" allowOverlap="1" wp14:anchorId="25573C33" wp14:editId="1EAD3BD5">
            <wp:simplePos x="0" y="0"/>
            <wp:positionH relativeFrom="column">
              <wp:posOffset>5454015</wp:posOffset>
            </wp:positionH>
            <wp:positionV relativeFrom="paragraph">
              <wp:posOffset>-541020</wp:posOffset>
            </wp:positionV>
            <wp:extent cx="923925" cy="704850"/>
            <wp:effectExtent l="0" t="0" r="9525" b="0"/>
            <wp:wrapThrough wrapText="bothSides">
              <wp:wrapPolygon edited="0">
                <wp:start x="0" y="0"/>
                <wp:lineTo x="0" y="21016"/>
                <wp:lineTo x="21377" y="21016"/>
                <wp:lineTo x="21377" y="0"/>
                <wp:lineTo x="0" y="0"/>
              </wp:wrapPolygon>
            </wp:wrapThrough>
            <wp:docPr id="1" name="Imagen 1" descr="http://2.bp.blogspot.com/-4kplz0_VxPc/VHDCS4GTyLI/AAAAAAAAB5U/oHE7C7cxLFI/s1600/beasiswa-kuliah-singapore-scholarsh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-4kplz0_VxPc/VHDCS4GTyLI/AAAAAAAAB5U/oHE7C7cxLFI/s1600/beasiswa-kuliah-singapore-scholarshi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6DA9" w:rsidRPr="001D67D0">
        <w:rPr>
          <w:noProof/>
          <w:lang w:eastAsia="es-PA"/>
        </w:rPr>
        <w:drawing>
          <wp:anchor distT="0" distB="0" distL="114300" distR="114300" simplePos="0" relativeHeight="251659264" behindDoc="0" locked="0" layoutInCell="1" allowOverlap="1" wp14:anchorId="2AA8D538" wp14:editId="2A088EB3">
            <wp:simplePos x="0" y="0"/>
            <wp:positionH relativeFrom="column">
              <wp:posOffset>-699770</wp:posOffset>
            </wp:positionH>
            <wp:positionV relativeFrom="paragraph">
              <wp:posOffset>-539750</wp:posOffset>
            </wp:positionV>
            <wp:extent cx="1466850" cy="571500"/>
            <wp:effectExtent l="0" t="0" r="0" b="0"/>
            <wp:wrapSquare wrapText="bothSides"/>
            <wp:docPr id="2" name="Imagen 2" descr="logoifar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ifarhu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8949" t="8328" r="4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6DA9" w:rsidRDefault="000E6DA9" w:rsidP="000E6DA9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BFA1BD" wp14:editId="4BACB437">
                <wp:simplePos x="0" y="0"/>
                <wp:positionH relativeFrom="column">
                  <wp:posOffset>95250</wp:posOffset>
                </wp:positionH>
                <wp:positionV relativeFrom="paragraph">
                  <wp:posOffset>247015</wp:posOffset>
                </wp:positionV>
                <wp:extent cx="1828800" cy="1828800"/>
                <wp:effectExtent l="0" t="0" r="0" b="698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E6DA9" w:rsidRPr="004F7CD1" w:rsidRDefault="004F7CD1" w:rsidP="000E6DA9">
                            <w:pPr>
                              <w:jc w:val="center"/>
                              <w:rPr>
                                <w:rFonts w:ascii="Berlin Sans FB Demi" w:hAnsi="Berlin Sans FB Demi"/>
                                <w:b/>
                                <w:color w:val="C2D69B" w:themeColor="accent3" w:themeTint="99"/>
                                <w:sz w:val="48"/>
                                <w:szCs w:val="4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4F7CD1">
                              <w:rPr>
                                <w:rFonts w:ascii="Berlin Sans FB Demi" w:hAnsi="Berlin Sans FB Demi"/>
                                <w:b/>
                                <w:color w:val="C2D69B" w:themeColor="accent3" w:themeTint="99"/>
                                <w:sz w:val="48"/>
                                <w:szCs w:val="48"/>
                                <w:lang w:val="es-ES"/>
                                <w14:shadow w14:blurRad="79997" w14:dist="40005" w14:dir="504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  <w14:gs w14:pos="2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50000">
                                        <w14:schemeClr w14:val="accent6">
                                          <w14:shade w14:val="89000"/>
                                          <w14:satMod w14:val="110000"/>
                                        </w14:schemeClr>
                                      </w14:gs>
                                      <w14:gs w14:pos="75000">
                                        <w14:schemeClr w14:val="accent6">
                                          <w14:tint w14:val="93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90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12700" w14:prstMaterial="warmMatte">
                                  <w14:bevelT w14:w="25400" w14:h="25400" w14:prst="circle"/>
                                  <w14:contourClr>
                                    <w14:schemeClr w14:val="accent6">
                                      <w14:shade w14:val="73000"/>
                                    </w14:schemeClr>
                                  </w14:contourClr>
                                </w14:props3d>
                              </w:rPr>
                              <w:t>PUBLIC HEALTHCARE PLANNING AND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7.5pt;margin-top:19.4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" filled="f" stroked="f">
                <v:textbox style="mso-fit-shape-to-text:t">
                  <w:txbxContent>
                    <w:p w:rsidR="000E6DA9" w:rsidRPr="004F7CD1" w:rsidRDefault="004F7CD1" w:rsidP="000E6DA9">
                      <w:pPr>
                        <w:jc w:val="center"/>
                        <w:rPr>
                          <w:rFonts w:ascii="Berlin Sans FB Demi" w:hAnsi="Berlin Sans FB Demi"/>
                          <w:b/>
                          <w:color w:val="C2D69B" w:themeColor="accent3" w:themeTint="99"/>
                          <w:sz w:val="48"/>
                          <w:szCs w:val="4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</w:pPr>
                      <w:r w:rsidRPr="004F7CD1">
                        <w:rPr>
                          <w:rFonts w:ascii="Berlin Sans FB Demi" w:hAnsi="Berlin Sans FB Demi"/>
                          <w:b/>
                          <w:color w:val="C2D69B" w:themeColor="accent3" w:themeTint="99"/>
                          <w:sz w:val="48"/>
                          <w:szCs w:val="48"/>
                          <w:lang w:val="es-ES"/>
                          <w14:shadow w14:blurRad="79997" w14:dist="40005" w14:dir="504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  <w14:gs w14:pos="2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50000">
                                  <w14:schemeClr w14:val="accent6">
                                    <w14:shade w14:val="89000"/>
                                    <w14:satMod w14:val="110000"/>
                                  </w14:schemeClr>
                                </w14:gs>
                                <w14:gs w14:pos="75000">
                                  <w14:schemeClr w14:val="accent6">
                                    <w14:tint w14:val="93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90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12700" w14:prstMaterial="warmMatte">
                            <w14:bevelT w14:w="25400" w14:h="25400" w14:prst="circle"/>
                            <w14:contourClr>
                              <w14:schemeClr w14:val="accent6">
                                <w14:shade w14:val="73000"/>
                              </w14:schemeClr>
                            </w14:contourClr>
                          </w14:props3d>
                        </w:rPr>
                        <w:t>PUBLIC HEALTHCARE PLANNING AND MANAGEMENT</w:t>
                      </w:r>
                    </w:p>
                  </w:txbxContent>
                </v:textbox>
              </v:shape>
            </w:pict>
          </mc:Fallback>
        </mc:AlternateContent>
      </w:r>
    </w:p>
    <w:p w:rsidR="000E6DA9" w:rsidRDefault="000E6DA9" w:rsidP="000E6DA9"/>
    <w:p w:rsidR="000E6DA9" w:rsidRDefault="000E6DA9" w:rsidP="000E6DA9"/>
    <w:p w:rsidR="000E6DA9" w:rsidRPr="00FE5729" w:rsidRDefault="00141109" w:rsidP="000E6DA9">
      <w:r>
        <w:rPr>
          <w:noProof/>
          <w:lang w:eastAsia="es-PA"/>
        </w:rPr>
        <w:drawing>
          <wp:anchor distT="0" distB="0" distL="114300" distR="114300" simplePos="0" relativeHeight="251664384" behindDoc="0" locked="0" layoutInCell="1" allowOverlap="1" wp14:anchorId="1C86A40D" wp14:editId="74503ADF">
            <wp:simplePos x="0" y="0"/>
            <wp:positionH relativeFrom="column">
              <wp:posOffset>2015490</wp:posOffset>
            </wp:positionH>
            <wp:positionV relativeFrom="paragraph">
              <wp:posOffset>1170305</wp:posOffset>
            </wp:positionV>
            <wp:extent cx="1143000" cy="1266825"/>
            <wp:effectExtent l="0" t="0" r="0" b="9525"/>
            <wp:wrapTopAndBottom/>
            <wp:docPr id="6" name="Imagen 6" descr="https://encrypted-tbn1.gstatic.com/images?q=tbn:ANd9GcRafL_SgLeZUdIaa0ZwcSRHR2BCILDob8k1zB3thFa8qZytTlyzZV9Fj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RafL_SgLeZUdIaa0ZwcSRHR2BCILDob8k1zB3thFa8qZytTlyzZV9FjQ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668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63360" behindDoc="0" locked="0" layoutInCell="1" allowOverlap="1" wp14:anchorId="4510C0CC" wp14:editId="2EC13983">
            <wp:simplePos x="0" y="0"/>
            <wp:positionH relativeFrom="column">
              <wp:posOffset>2922270</wp:posOffset>
            </wp:positionH>
            <wp:positionV relativeFrom="paragraph">
              <wp:posOffset>455295</wp:posOffset>
            </wp:positionV>
            <wp:extent cx="2619375" cy="2133600"/>
            <wp:effectExtent l="342900" t="285750" r="409575" b="323850"/>
            <wp:wrapTopAndBottom/>
            <wp:docPr id="7" name="Imagen 7" descr="Resultado de imagen de PUBLIC HEALTHCARE PLANNING AND MANAG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PUBLIC HEALTHCARE PLANNING AND MANAG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133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PA"/>
        </w:rPr>
        <w:drawing>
          <wp:anchor distT="0" distB="0" distL="114300" distR="114300" simplePos="0" relativeHeight="251662336" behindDoc="0" locked="0" layoutInCell="1" allowOverlap="1" wp14:anchorId="45C8238B" wp14:editId="2A0853E1">
            <wp:simplePos x="0" y="0"/>
            <wp:positionH relativeFrom="column">
              <wp:posOffset>243840</wp:posOffset>
            </wp:positionH>
            <wp:positionV relativeFrom="paragraph">
              <wp:posOffset>342900</wp:posOffset>
            </wp:positionV>
            <wp:extent cx="2047875" cy="2238375"/>
            <wp:effectExtent l="342900" t="247650" r="428625" b="276225"/>
            <wp:wrapTopAndBottom/>
            <wp:docPr id="5" name="Imagen 5" descr="https://encrypted-tbn3.gstatic.com/images?q=tbn:ANd9GcS6UBs6Ts61EcfNm44C2EPNJLKe90zBEwuNS_UpApytZLYY_sQpn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S6UBs6Ts61EcfNm44C2EPNJLKe90zBEwuNS_UpApytZLYY_sQpnQ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2383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6DA9" w:rsidRDefault="000E6DA9" w:rsidP="000E6DA9">
      <w:pPr>
        <w:jc w:val="center"/>
      </w:pPr>
    </w:p>
    <w:p w:rsidR="000E6DA9" w:rsidRPr="00141109" w:rsidRDefault="000E6DA9" w:rsidP="000E6DA9">
      <w:pPr>
        <w:pStyle w:val="Prrafodelista"/>
        <w:numPr>
          <w:ilvl w:val="0"/>
          <w:numId w:val="2"/>
        </w:numPr>
        <w:jc w:val="center"/>
        <w:rPr>
          <w:rFonts w:ascii="Arial" w:hAnsi="Arial" w:cs="Arial"/>
          <w:b/>
          <w:sz w:val="24"/>
          <w:szCs w:val="24"/>
        </w:rPr>
      </w:pPr>
      <w:r w:rsidRPr="00141109">
        <w:rPr>
          <w:rFonts w:ascii="Arial" w:hAnsi="Arial" w:cs="Arial"/>
          <w:b/>
          <w:sz w:val="24"/>
          <w:szCs w:val="24"/>
        </w:rPr>
        <w:t xml:space="preserve">Country: </w:t>
      </w:r>
      <w:proofErr w:type="spellStart"/>
      <w:r w:rsidRPr="00141109">
        <w:rPr>
          <w:rFonts w:ascii="Arial" w:hAnsi="Arial" w:cs="Arial"/>
          <w:b/>
          <w:sz w:val="24"/>
          <w:szCs w:val="24"/>
        </w:rPr>
        <w:t>Singapore</w:t>
      </w:r>
      <w:proofErr w:type="spellEnd"/>
    </w:p>
    <w:p w:rsidR="000E6DA9" w:rsidRPr="00141109" w:rsidRDefault="000E6DA9" w:rsidP="000E6DA9">
      <w:pPr>
        <w:pStyle w:val="Prrafodelista"/>
        <w:numPr>
          <w:ilvl w:val="0"/>
          <w:numId w:val="2"/>
        </w:num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141109">
        <w:rPr>
          <w:rFonts w:ascii="Arial" w:hAnsi="Arial" w:cs="Arial"/>
          <w:b/>
          <w:sz w:val="24"/>
          <w:szCs w:val="24"/>
          <w:lang w:val="en-US"/>
        </w:rPr>
        <w:t xml:space="preserve">Duration: </w:t>
      </w:r>
      <w:r w:rsidR="00584DAD" w:rsidRPr="00141109">
        <w:rPr>
          <w:rFonts w:ascii="Arial" w:hAnsi="Arial" w:cs="Arial"/>
          <w:b/>
          <w:sz w:val="24"/>
          <w:szCs w:val="24"/>
          <w:lang w:val="en-US"/>
        </w:rPr>
        <w:t xml:space="preserve">August 31, to September 4 </w:t>
      </w:r>
      <w:proofErr w:type="spellStart"/>
      <w:r w:rsidR="00584DAD" w:rsidRPr="00141109">
        <w:rPr>
          <w:rFonts w:ascii="Arial" w:hAnsi="Arial" w:cs="Arial"/>
          <w:b/>
          <w:sz w:val="24"/>
          <w:szCs w:val="24"/>
          <w:lang w:val="en-US"/>
        </w:rPr>
        <w:t>th</w:t>
      </w:r>
      <w:proofErr w:type="spellEnd"/>
      <w:r w:rsidR="00584DAD" w:rsidRPr="00141109">
        <w:rPr>
          <w:rFonts w:ascii="Arial" w:hAnsi="Arial" w:cs="Arial"/>
          <w:b/>
          <w:sz w:val="24"/>
          <w:szCs w:val="24"/>
          <w:lang w:val="en-US"/>
        </w:rPr>
        <w:t xml:space="preserve"> 2015</w:t>
      </w:r>
    </w:p>
    <w:p w:rsidR="000E6DA9" w:rsidRPr="00141109" w:rsidRDefault="000E6DA9" w:rsidP="000E6DA9">
      <w:pPr>
        <w:pStyle w:val="Prrafodelista"/>
        <w:numPr>
          <w:ilvl w:val="0"/>
          <w:numId w:val="2"/>
        </w:num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141109">
        <w:rPr>
          <w:rFonts w:ascii="Arial" w:hAnsi="Arial" w:cs="Arial"/>
          <w:b/>
          <w:sz w:val="24"/>
          <w:szCs w:val="24"/>
          <w:lang w:val="en-US"/>
        </w:rPr>
        <w:t xml:space="preserve">Closing date for </w:t>
      </w:r>
      <w:proofErr w:type="spellStart"/>
      <w:r w:rsidRPr="00141109">
        <w:rPr>
          <w:rFonts w:ascii="Arial" w:hAnsi="Arial" w:cs="Arial"/>
          <w:b/>
          <w:sz w:val="24"/>
          <w:szCs w:val="24"/>
          <w:lang w:val="en-US"/>
        </w:rPr>
        <w:t>Aplication</w:t>
      </w:r>
      <w:proofErr w:type="spellEnd"/>
      <w:r w:rsidRPr="00141109">
        <w:rPr>
          <w:rFonts w:ascii="Arial" w:hAnsi="Arial" w:cs="Arial"/>
          <w:b/>
          <w:sz w:val="24"/>
          <w:szCs w:val="24"/>
          <w:lang w:val="en-US"/>
        </w:rPr>
        <w:t xml:space="preserve">: </w:t>
      </w:r>
      <w:r w:rsidR="00584DAD" w:rsidRPr="00141109">
        <w:rPr>
          <w:rFonts w:ascii="Arial" w:hAnsi="Arial" w:cs="Arial"/>
          <w:b/>
          <w:sz w:val="24"/>
          <w:szCs w:val="24"/>
          <w:lang w:val="en-US"/>
        </w:rPr>
        <w:t>July 10</w:t>
      </w:r>
      <w:r w:rsidRPr="00141109">
        <w:rPr>
          <w:rFonts w:ascii="Arial" w:hAnsi="Arial" w:cs="Arial"/>
          <w:b/>
          <w:sz w:val="24"/>
          <w:szCs w:val="24"/>
          <w:lang w:val="en-US"/>
        </w:rPr>
        <w:t>, 2015</w:t>
      </w:r>
    </w:p>
    <w:p w:rsidR="000E6DA9" w:rsidRPr="00141109" w:rsidRDefault="000E6DA9" w:rsidP="000E6DA9">
      <w:pPr>
        <w:rPr>
          <w:rFonts w:ascii="Arial" w:hAnsi="Arial" w:cs="Arial"/>
          <w:b/>
          <w:sz w:val="24"/>
          <w:szCs w:val="24"/>
          <w:lang w:val="en-US"/>
        </w:rPr>
      </w:pPr>
    </w:p>
    <w:p w:rsidR="000E6DA9" w:rsidRPr="000F6D22" w:rsidRDefault="000E6DA9" w:rsidP="000E6DA9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0F6D22">
        <w:rPr>
          <w:rFonts w:ascii="Arial" w:hAnsi="Arial" w:cs="Arial"/>
          <w:b/>
          <w:sz w:val="28"/>
          <w:szCs w:val="28"/>
          <w:lang w:val="en-US"/>
        </w:rPr>
        <w:t>Course Objective</w:t>
      </w:r>
      <w:r>
        <w:rPr>
          <w:rFonts w:ascii="Arial" w:hAnsi="Arial" w:cs="Arial"/>
          <w:b/>
          <w:sz w:val="28"/>
          <w:szCs w:val="28"/>
          <w:lang w:val="en-US"/>
        </w:rPr>
        <w:t>.</w:t>
      </w:r>
    </w:p>
    <w:p w:rsidR="000E6DA9" w:rsidRDefault="009E419C" w:rsidP="0094295C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Singapore healthcare approach is often applauded for its performance, and how Singapore</w:t>
      </w:r>
      <w:r w:rsidR="0094295C">
        <w:rPr>
          <w:rFonts w:ascii="Arial" w:hAnsi="Arial" w:cs="Arial"/>
          <w:sz w:val="24"/>
          <w:szCs w:val="24"/>
          <w:lang w:val="en-US"/>
        </w:rPr>
        <w:t xml:space="preserve"> managed to achieve such performance is by placing the emphasis on personal responsibility and prudence both on the individual and public levels.  This </w:t>
      </w:r>
      <w:proofErr w:type="spellStart"/>
      <w:r w:rsidR="0094295C">
        <w:rPr>
          <w:rFonts w:ascii="Arial" w:hAnsi="Arial" w:cs="Arial"/>
          <w:sz w:val="24"/>
          <w:szCs w:val="24"/>
          <w:lang w:val="en-US"/>
        </w:rPr>
        <w:t>programme</w:t>
      </w:r>
      <w:proofErr w:type="spellEnd"/>
      <w:r w:rsidR="0094295C">
        <w:rPr>
          <w:rFonts w:ascii="Arial" w:hAnsi="Arial" w:cs="Arial"/>
          <w:sz w:val="24"/>
          <w:szCs w:val="24"/>
          <w:lang w:val="en-US"/>
        </w:rPr>
        <w:t xml:space="preserve"> aims to provide senior government officials and health care sector and personnel a better understanding and in depth knowledge on the policies, regulatory frameworks for the integrated development and management of </w:t>
      </w:r>
      <w:proofErr w:type="spellStart"/>
      <w:r w:rsidR="0094295C">
        <w:rPr>
          <w:rFonts w:ascii="Arial" w:hAnsi="Arial" w:cs="Arial"/>
          <w:sz w:val="24"/>
          <w:szCs w:val="24"/>
          <w:lang w:val="en-US"/>
        </w:rPr>
        <w:t>punlic</w:t>
      </w:r>
      <w:proofErr w:type="spellEnd"/>
      <w:r w:rsidR="0094295C">
        <w:rPr>
          <w:rFonts w:ascii="Arial" w:hAnsi="Arial" w:cs="Arial"/>
          <w:sz w:val="24"/>
          <w:szCs w:val="24"/>
          <w:lang w:val="en-US"/>
        </w:rPr>
        <w:t xml:space="preserve"> health care chronic disease management and infrastructure facilities systems in Singapore.</w:t>
      </w:r>
    </w:p>
    <w:p w:rsidR="0094295C" w:rsidRDefault="0094295C" w:rsidP="0094295C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0E6DA9" w:rsidRPr="000F6D22" w:rsidRDefault="000E6DA9" w:rsidP="000E6DA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0F6D22">
        <w:rPr>
          <w:rFonts w:ascii="Arial" w:hAnsi="Arial" w:cs="Arial"/>
          <w:b/>
          <w:sz w:val="28"/>
          <w:szCs w:val="28"/>
          <w:lang w:val="en-US"/>
        </w:rPr>
        <w:t>Synopsis and Methodology</w:t>
      </w:r>
      <w:r>
        <w:rPr>
          <w:rFonts w:ascii="Arial" w:hAnsi="Arial" w:cs="Arial"/>
          <w:b/>
          <w:sz w:val="28"/>
          <w:szCs w:val="28"/>
          <w:lang w:val="en-US"/>
        </w:rPr>
        <w:t>.</w:t>
      </w:r>
    </w:p>
    <w:p w:rsidR="000E6DA9" w:rsidRDefault="000E6DA9" w:rsidP="000E6DA9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Topics to be covered </w:t>
      </w:r>
      <w:r w:rsidR="0094295C">
        <w:rPr>
          <w:rFonts w:ascii="Arial" w:hAnsi="Arial" w:cs="Arial"/>
          <w:sz w:val="24"/>
          <w:szCs w:val="24"/>
          <w:lang w:val="en-US"/>
        </w:rPr>
        <w:t xml:space="preserve">over the 5-day </w:t>
      </w:r>
      <w:proofErr w:type="spellStart"/>
      <w:r w:rsidR="0094295C">
        <w:rPr>
          <w:rFonts w:ascii="Arial" w:hAnsi="Arial" w:cs="Arial"/>
          <w:sz w:val="24"/>
          <w:szCs w:val="24"/>
          <w:lang w:val="en-US"/>
        </w:rPr>
        <w:t>programme</w:t>
      </w:r>
      <w:proofErr w:type="spellEnd"/>
      <w:r w:rsidR="0094295C">
        <w:rPr>
          <w:rFonts w:ascii="Arial" w:hAnsi="Arial" w:cs="Arial"/>
          <w:sz w:val="24"/>
          <w:szCs w:val="24"/>
          <w:lang w:val="en-US"/>
        </w:rPr>
        <w:t xml:space="preserve"> would involve the following topics related to public healthcare planning and management in Singapore.</w:t>
      </w:r>
    </w:p>
    <w:p w:rsidR="000E6DA9" w:rsidRDefault="0094295C" w:rsidP="000E6DA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Healthcare management frameworks.  The frameworks and approaches will be discussed which</w:t>
      </w:r>
      <w:r w:rsidR="00635ECE">
        <w:rPr>
          <w:rFonts w:ascii="Arial" w:hAnsi="Arial" w:cs="Arial"/>
          <w:sz w:val="24"/>
          <w:szCs w:val="24"/>
          <w:lang w:val="en-US"/>
        </w:rPr>
        <w:t xml:space="preserve"> +would include the goals of the Singapore Healthcare Road Map, the 3Ms framework – Medicate.  Medishield and Medifund.  The topic will cover the roles and functions of Central will cover the roles and </w:t>
      </w:r>
      <w:proofErr w:type="gramStart"/>
      <w:r w:rsidR="00635ECE">
        <w:rPr>
          <w:rFonts w:ascii="Arial" w:hAnsi="Arial" w:cs="Arial"/>
          <w:sz w:val="24"/>
          <w:szCs w:val="24"/>
          <w:lang w:val="en-US"/>
        </w:rPr>
        <w:t>functions  of</w:t>
      </w:r>
      <w:proofErr w:type="gramEnd"/>
      <w:r w:rsidR="00635ECE">
        <w:rPr>
          <w:rFonts w:ascii="Arial" w:hAnsi="Arial" w:cs="Arial"/>
          <w:sz w:val="24"/>
          <w:szCs w:val="24"/>
          <w:lang w:val="en-US"/>
        </w:rPr>
        <w:t xml:space="preserve"> Central Provident Fund schemes.  The coming </w:t>
      </w:r>
      <w:proofErr w:type="spellStart"/>
      <w:r w:rsidR="00635ECE">
        <w:rPr>
          <w:rFonts w:ascii="Arial" w:hAnsi="Arial" w:cs="Arial"/>
          <w:sz w:val="24"/>
          <w:szCs w:val="24"/>
          <w:lang w:val="en-US"/>
        </w:rPr>
        <w:t>Medishield</w:t>
      </w:r>
      <w:proofErr w:type="spellEnd"/>
      <w:r w:rsidR="00635ECE">
        <w:rPr>
          <w:rFonts w:ascii="Arial" w:hAnsi="Arial" w:cs="Arial"/>
          <w:sz w:val="24"/>
          <w:szCs w:val="24"/>
          <w:lang w:val="en-US"/>
        </w:rPr>
        <w:t xml:space="preserve"> Life and private insurance medical schemes.</w:t>
      </w:r>
    </w:p>
    <w:p w:rsidR="00635ECE" w:rsidRDefault="00635ECE" w:rsidP="000E6DA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Financing and insurance frameworks.  This will cover how healthcare is funded in Singapore via individual (self), individual (insurance), employer (insurance) and government taxes.</w:t>
      </w:r>
    </w:p>
    <w:p w:rsidR="000E6DA9" w:rsidRDefault="00635ECE" w:rsidP="000E6DA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Insurance plans.  In this topic.  The different insurance plans will be discussed in details including Medishield.  The basic health insurance </w:t>
      </w:r>
      <w:proofErr w:type="gramStart"/>
      <w:r>
        <w:rPr>
          <w:rFonts w:ascii="Arial" w:hAnsi="Arial" w:cs="Arial"/>
          <w:sz w:val="24"/>
          <w:szCs w:val="24"/>
          <w:lang w:val="en-US"/>
        </w:rPr>
        <w:t>scheme,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and the ongoing review of Medishield Life.  Eider shield.</w:t>
      </w:r>
    </w:p>
    <w:p w:rsidR="000E6DA9" w:rsidRDefault="00635ECE" w:rsidP="000E6DA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Regulations and legislation on healthcare</w:t>
      </w:r>
      <w:r w:rsidR="0045196A">
        <w:rPr>
          <w:rFonts w:ascii="Arial" w:hAnsi="Arial" w:cs="Arial"/>
          <w:sz w:val="24"/>
          <w:szCs w:val="24"/>
          <w:lang w:val="en-US"/>
        </w:rPr>
        <w:t xml:space="preserve"> </w:t>
      </w:r>
      <w:r w:rsidR="000E6DA9">
        <w:rPr>
          <w:rFonts w:ascii="Arial" w:hAnsi="Arial" w:cs="Arial"/>
          <w:sz w:val="24"/>
          <w:szCs w:val="24"/>
          <w:lang w:val="en-US"/>
        </w:rPr>
        <w:t>.</w:t>
      </w:r>
      <w:r>
        <w:rPr>
          <w:rFonts w:ascii="Arial" w:hAnsi="Arial" w:cs="Arial"/>
          <w:sz w:val="24"/>
          <w:szCs w:val="24"/>
          <w:lang w:val="en-US"/>
        </w:rPr>
        <w:t xml:space="preserve">infrastructure facilities and delivery systems including primary healthcare </w:t>
      </w:r>
      <w:r w:rsidR="00506CE8">
        <w:rPr>
          <w:rFonts w:ascii="Arial" w:hAnsi="Arial" w:cs="Arial"/>
          <w:sz w:val="24"/>
          <w:szCs w:val="24"/>
          <w:lang w:val="en-US"/>
        </w:rPr>
        <w:t xml:space="preserve">secondary healthcare and </w:t>
      </w:r>
      <w:r w:rsidR="0045196A">
        <w:rPr>
          <w:rFonts w:ascii="Arial" w:hAnsi="Arial" w:cs="Arial"/>
          <w:sz w:val="24"/>
          <w:szCs w:val="24"/>
          <w:lang w:val="en-US"/>
        </w:rPr>
        <w:t>tertiary</w:t>
      </w:r>
      <w:r w:rsidR="00506CE8">
        <w:rPr>
          <w:rFonts w:ascii="Arial" w:hAnsi="Arial" w:cs="Arial"/>
          <w:sz w:val="24"/>
          <w:szCs w:val="24"/>
          <w:lang w:val="en-US"/>
        </w:rPr>
        <w:t xml:space="preserve"> healthcare. The move towards </w:t>
      </w:r>
      <w:proofErr w:type="gramStart"/>
      <w:r w:rsidR="00506CE8">
        <w:rPr>
          <w:rFonts w:ascii="Arial" w:hAnsi="Arial" w:cs="Arial"/>
          <w:sz w:val="24"/>
          <w:szCs w:val="24"/>
          <w:lang w:val="en-US"/>
        </w:rPr>
        <w:t>vertically  integrated</w:t>
      </w:r>
      <w:proofErr w:type="gramEnd"/>
      <w:r w:rsidR="00506CE8">
        <w:rPr>
          <w:rFonts w:ascii="Arial" w:hAnsi="Arial" w:cs="Arial"/>
          <w:sz w:val="24"/>
          <w:szCs w:val="24"/>
          <w:lang w:val="en-US"/>
        </w:rPr>
        <w:t xml:space="preserve"> regional healthcare networks,</w:t>
      </w:r>
      <w:r w:rsidR="0045196A">
        <w:rPr>
          <w:rFonts w:ascii="Arial" w:hAnsi="Arial" w:cs="Arial"/>
          <w:sz w:val="24"/>
          <w:szCs w:val="24"/>
          <w:lang w:val="en-US"/>
        </w:rPr>
        <w:t xml:space="preserve"> as </w:t>
      </w:r>
      <w:r w:rsidR="00C03943">
        <w:rPr>
          <w:rFonts w:ascii="Arial" w:hAnsi="Arial" w:cs="Arial"/>
          <w:sz w:val="24"/>
          <w:szCs w:val="24"/>
          <w:lang w:val="en-US"/>
        </w:rPr>
        <w:t xml:space="preserve"> well as the leveraging of collaboration/partnerships</w:t>
      </w:r>
      <w:r w:rsidR="00BE1C76">
        <w:rPr>
          <w:rFonts w:ascii="Arial" w:hAnsi="Arial" w:cs="Arial"/>
          <w:sz w:val="24"/>
          <w:szCs w:val="24"/>
          <w:lang w:val="en-US"/>
        </w:rPr>
        <w:t xml:space="preserve"> with public private and community sectors.</w:t>
      </w:r>
    </w:p>
    <w:p w:rsidR="000E6DA9" w:rsidRDefault="00BE1C76" w:rsidP="000E6DA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Managing chronic diseases including the polyclinic services acute</w:t>
      </w:r>
      <w:r w:rsidR="000E6DA9">
        <w:rPr>
          <w:rFonts w:ascii="Arial" w:hAnsi="Arial" w:cs="Arial"/>
          <w:sz w:val="24"/>
          <w:szCs w:val="24"/>
          <w:lang w:val="en-US"/>
        </w:rPr>
        <w:t>.</w:t>
      </w:r>
      <w:r w:rsidRPr="00BE1C76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en-US"/>
        </w:rPr>
        <w:t>for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primary acute/chronic,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medifund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0E6DA9" w:rsidRDefault="00BE1C76" w:rsidP="000E6DA9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Managing an ageing society </w:t>
      </w:r>
      <w:proofErr w:type="gramStart"/>
      <w:r>
        <w:rPr>
          <w:rFonts w:ascii="Arial" w:hAnsi="Arial" w:cs="Arial"/>
          <w:sz w:val="24"/>
          <w:szCs w:val="24"/>
          <w:lang w:val="en-US"/>
        </w:rPr>
        <w:t xml:space="preserve">including 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Eldershield</w:t>
      </w:r>
      <w:proofErr w:type="spellEnd"/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 long term care insurance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medifun</w:t>
      </w:r>
      <w:proofErr w:type="spellEnd"/>
      <w:r w:rsidR="000E6DA9">
        <w:rPr>
          <w:rFonts w:ascii="Arial" w:hAnsi="Arial" w:cs="Arial"/>
          <w:sz w:val="24"/>
          <w:szCs w:val="24"/>
          <w:lang w:val="en-US"/>
        </w:rPr>
        <w:t>.</w:t>
      </w:r>
    </w:p>
    <w:p w:rsidR="000E6DA9" w:rsidRDefault="0045196A" w:rsidP="000E6DA9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-</w:t>
      </w:r>
    </w:p>
    <w:p w:rsidR="000E6DA9" w:rsidRDefault="000E6DA9" w:rsidP="000E6DA9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DB0C59">
        <w:rPr>
          <w:rFonts w:ascii="Arial" w:hAnsi="Arial" w:cs="Arial"/>
          <w:b/>
          <w:sz w:val="28"/>
          <w:szCs w:val="28"/>
          <w:lang w:val="en-US"/>
        </w:rPr>
        <w:t>Application Information</w:t>
      </w:r>
      <w:r>
        <w:rPr>
          <w:rFonts w:ascii="Arial" w:hAnsi="Arial" w:cs="Arial"/>
          <w:b/>
          <w:sz w:val="28"/>
          <w:szCs w:val="28"/>
          <w:lang w:val="en-US"/>
        </w:rPr>
        <w:t>.</w:t>
      </w:r>
    </w:p>
    <w:p w:rsidR="000E6DA9" w:rsidRDefault="000E6DA9" w:rsidP="000E6DA9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B0C59">
        <w:rPr>
          <w:rFonts w:ascii="Arial" w:hAnsi="Arial" w:cs="Arial"/>
          <w:sz w:val="24"/>
          <w:szCs w:val="24"/>
          <w:lang w:val="en-US"/>
        </w:rPr>
        <w:t xml:space="preserve">Applicants should be: </w:t>
      </w:r>
    </w:p>
    <w:p w:rsidR="000E6DA9" w:rsidRDefault="000E6DA9" w:rsidP="000E6DA9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Mid to senior level officials (</w:t>
      </w:r>
      <w:r w:rsidR="00BE1C76">
        <w:rPr>
          <w:rFonts w:ascii="Arial" w:hAnsi="Arial" w:cs="Arial"/>
          <w:sz w:val="24"/>
          <w:szCs w:val="24"/>
          <w:lang w:val="en-US"/>
        </w:rPr>
        <w:t xml:space="preserve">from </w:t>
      </w:r>
      <w:proofErr w:type="spellStart"/>
      <w:r w:rsidR="00BE1C76">
        <w:rPr>
          <w:rFonts w:ascii="Arial" w:hAnsi="Arial" w:cs="Arial"/>
          <w:sz w:val="24"/>
          <w:szCs w:val="24"/>
          <w:lang w:val="en-US"/>
        </w:rPr>
        <w:t>foreing</w:t>
      </w:r>
      <w:proofErr w:type="spellEnd"/>
      <w:r w:rsidR="00BE1C76">
        <w:rPr>
          <w:rFonts w:ascii="Arial" w:hAnsi="Arial" w:cs="Arial"/>
          <w:sz w:val="24"/>
          <w:szCs w:val="24"/>
          <w:lang w:val="en-US"/>
        </w:rPr>
        <w:t xml:space="preserve"> government agencies involved in public healthcare sector administration and planning with relevant experience in financial and budget management</w:t>
      </w:r>
    </w:p>
    <w:p w:rsidR="000E6DA9" w:rsidRDefault="000E6DA9" w:rsidP="000E6DA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Nominated by their respective Governments.</w:t>
      </w:r>
    </w:p>
    <w:p w:rsidR="000E6DA9" w:rsidRDefault="000E6DA9" w:rsidP="000E6DA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Proficient in spoken and written English.</w:t>
      </w:r>
    </w:p>
    <w:p w:rsidR="000E6DA9" w:rsidRDefault="000E6DA9" w:rsidP="000E6DA9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In good health </w:t>
      </w:r>
    </w:p>
    <w:p w:rsidR="000E6DA9" w:rsidRDefault="000E6DA9" w:rsidP="000E6DA9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C55AB2" w:rsidRDefault="00C55AB2" w:rsidP="000E6DA9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141109" w:rsidRDefault="00141109" w:rsidP="000E6DA9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141109" w:rsidRDefault="00141109" w:rsidP="000E6DA9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0E6DA9" w:rsidRDefault="000E6DA9" w:rsidP="000E6DA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1226F9">
        <w:rPr>
          <w:rFonts w:ascii="Arial" w:hAnsi="Arial" w:cs="Arial"/>
          <w:b/>
          <w:sz w:val="28"/>
          <w:szCs w:val="28"/>
          <w:lang w:val="en-US"/>
        </w:rPr>
        <w:t>Terms of Award.</w:t>
      </w:r>
    </w:p>
    <w:p w:rsidR="000E6DA9" w:rsidRDefault="000E6DA9" w:rsidP="000E6DA9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course is sponsored by the Government of Singapore under the Singapore Cooperation Programme Training Award and the Small Island Developing States Technical Cooperation Programme.</w:t>
      </w:r>
    </w:p>
    <w:p w:rsidR="000E6DA9" w:rsidRDefault="000E6DA9" w:rsidP="000E6DA9">
      <w:p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Under this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programme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arrangement, the Government of Singapore will be the following expenses for the successful applicants, thereafter, known as participants during their training in Singapore. These expenses include:</w:t>
      </w:r>
    </w:p>
    <w:p w:rsidR="000E6DA9" w:rsidRDefault="000E6DA9" w:rsidP="000E6DA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 daily training allowance of One Hundred and Twenty Singapore Dollars ($120) from the first day to the last day of the course. </w:t>
      </w:r>
      <w:r w:rsidR="00656F95">
        <w:rPr>
          <w:rFonts w:ascii="Arial" w:hAnsi="Arial" w:cs="Arial"/>
          <w:sz w:val="24"/>
          <w:szCs w:val="24"/>
          <w:lang w:val="en-US"/>
        </w:rPr>
        <w:t>To cover meals and daily expenses. (Complimentary breakfast is provided in the hotel from the first day after the course).</w:t>
      </w:r>
    </w:p>
    <w:p w:rsidR="000E6DA9" w:rsidRDefault="000E6DA9" w:rsidP="000E6DA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Transportation to course venue and site visits; </w:t>
      </w:r>
    </w:p>
    <w:p w:rsidR="000E6DA9" w:rsidRDefault="000E6DA9" w:rsidP="000E6DA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Medical insurance for participants to cover accident and hospitalization during their stay in Singapore in accordance with the policy of a local insurance company; and</w:t>
      </w:r>
    </w:p>
    <w:p w:rsidR="000E6DA9" w:rsidRDefault="000E6DA9" w:rsidP="000E6DA9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Accommodation for the entire duration of the course.</w:t>
      </w:r>
    </w:p>
    <w:p w:rsidR="000E6DA9" w:rsidRDefault="000E6DA9" w:rsidP="000E6DA9">
      <w:pPr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0E6DA9" w:rsidRDefault="000E6DA9" w:rsidP="000E6DA9">
      <w:pPr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453F4A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NOTE: </w:t>
      </w:r>
    </w:p>
    <w:p w:rsidR="00141109" w:rsidRDefault="00141109" w:rsidP="000E6DA9">
      <w:pPr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0E6DA9" w:rsidRPr="00993F8E" w:rsidRDefault="00141109" w:rsidP="000E6DA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nominating government will be responsible for their participants round-trip airfares</w:t>
      </w:r>
    </w:p>
    <w:p w:rsidR="000E6DA9" w:rsidRPr="00127CEA" w:rsidRDefault="000E6DA9" w:rsidP="000E6DA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Participants are to bear their personal miscellaneous expenses that might be occurred prior to receiving the allowance.</w:t>
      </w:r>
    </w:p>
    <w:p w:rsidR="000E6DA9" w:rsidRPr="00CF449E" w:rsidRDefault="000E6DA9" w:rsidP="000E6DA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Any expenses for out-patient medical/dental treatment will be borne by the participants themselves. </w:t>
      </w:r>
    </w:p>
    <w:p w:rsidR="00656F95" w:rsidRDefault="000E6DA9" w:rsidP="000E6DA9">
      <w:pPr>
        <w:jc w:val="center"/>
        <w:rPr>
          <w:rFonts w:ascii="Arial" w:hAnsi="Arial" w:cs="Arial"/>
          <w:b/>
          <w:color w:val="4F6228" w:themeColor="accent3" w:themeShade="80"/>
          <w:sz w:val="32"/>
          <w:szCs w:val="32"/>
          <w:u w:val="single"/>
          <w:lang w:val="en-US"/>
        </w:rPr>
      </w:pPr>
      <w:r>
        <w:rPr>
          <w:rFonts w:ascii="Arial" w:hAnsi="Arial" w:cs="Arial"/>
          <w:b/>
          <w:color w:val="4F6228" w:themeColor="accent3" w:themeShade="80"/>
          <w:sz w:val="32"/>
          <w:szCs w:val="32"/>
          <w:u w:val="single"/>
          <w:lang w:val="en-US"/>
        </w:rPr>
        <w:t xml:space="preserve"> </w:t>
      </w:r>
    </w:p>
    <w:p w:rsidR="00656F95" w:rsidRDefault="00656F95" w:rsidP="000E6DA9">
      <w:pPr>
        <w:jc w:val="center"/>
        <w:rPr>
          <w:rFonts w:ascii="Arial" w:hAnsi="Arial" w:cs="Arial"/>
          <w:b/>
          <w:color w:val="4F6228" w:themeColor="accent3" w:themeShade="80"/>
          <w:sz w:val="32"/>
          <w:szCs w:val="32"/>
          <w:u w:val="single"/>
          <w:lang w:val="en-US"/>
        </w:rPr>
      </w:pPr>
    </w:p>
    <w:p w:rsidR="00656F95" w:rsidRDefault="00656F95" w:rsidP="000E6DA9">
      <w:pPr>
        <w:jc w:val="center"/>
        <w:rPr>
          <w:rFonts w:ascii="Arial" w:hAnsi="Arial" w:cs="Arial"/>
          <w:b/>
          <w:color w:val="4F6228" w:themeColor="accent3" w:themeShade="80"/>
          <w:sz w:val="32"/>
          <w:szCs w:val="32"/>
          <w:u w:val="single"/>
          <w:lang w:val="en-US"/>
        </w:rPr>
      </w:pPr>
    </w:p>
    <w:p w:rsidR="00656F95" w:rsidRDefault="00656F95" w:rsidP="000E6DA9">
      <w:pPr>
        <w:jc w:val="center"/>
        <w:rPr>
          <w:rFonts w:ascii="Arial" w:hAnsi="Arial" w:cs="Arial"/>
          <w:b/>
          <w:color w:val="4F6228" w:themeColor="accent3" w:themeShade="80"/>
          <w:sz w:val="32"/>
          <w:szCs w:val="32"/>
          <w:u w:val="single"/>
          <w:lang w:val="en-US"/>
        </w:rPr>
      </w:pPr>
    </w:p>
    <w:p w:rsidR="00656F95" w:rsidRDefault="00656F95" w:rsidP="000E6DA9">
      <w:pPr>
        <w:jc w:val="center"/>
        <w:rPr>
          <w:rFonts w:ascii="Arial" w:hAnsi="Arial" w:cs="Arial"/>
          <w:b/>
          <w:color w:val="4F6228" w:themeColor="accent3" w:themeShade="80"/>
          <w:sz w:val="32"/>
          <w:szCs w:val="32"/>
          <w:u w:val="single"/>
          <w:lang w:val="en-US"/>
        </w:rPr>
      </w:pPr>
    </w:p>
    <w:p w:rsidR="00656F95" w:rsidRPr="00656F95" w:rsidRDefault="00656F95" w:rsidP="00141109">
      <w:pPr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</w:pPr>
    </w:p>
    <w:p w:rsidR="000E6DA9" w:rsidRDefault="000E6DA9" w:rsidP="000E6DA9">
      <w:pPr>
        <w:jc w:val="center"/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</w:pPr>
      <w:r w:rsidRPr="00656F95"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  <w:t xml:space="preserve">   REQUIRED DOCUMENTS</w:t>
      </w:r>
    </w:p>
    <w:p w:rsidR="00656F95" w:rsidRDefault="00656F95" w:rsidP="000E6DA9">
      <w:pPr>
        <w:jc w:val="center"/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</w:pPr>
    </w:p>
    <w:p w:rsidR="00141109" w:rsidRPr="00656F95" w:rsidRDefault="00141109" w:rsidP="000E6DA9">
      <w:pPr>
        <w:jc w:val="center"/>
        <w:rPr>
          <w:rFonts w:ascii="Arial" w:hAnsi="Arial" w:cs="Arial"/>
          <w:b/>
          <w:color w:val="4F6228" w:themeColor="accent3" w:themeShade="80"/>
          <w:sz w:val="24"/>
          <w:szCs w:val="24"/>
          <w:u w:val="single"/>
          <w:lang w:val="en-US"/>
        </w:rPr>
      </w:pPr>
    </w:p>
    <w:tbl>
      <w:tblPr>
        <w:tblStyle w:val="Cuadrculaclara-nfasis3"/>
        <w:tblW w:w="9265" w:type="dxa"/>
        <w:tblLayout w:type="fixed"/>
        <w:tblLook w:val="04A0" w:firstRow="1" w:lastRow="0" w:firstColumn="1" w:lastColumn="0" w:noHBand="0" w:noVBand="1"/>
      </w:tblPr>
      <w:tblGrid>
        <w:gridCol w:w="7364"/>
        <w:gridCol w:w="1161"/>
        <w:gridCol w:w="740"/>
      </w:tblGrid>
      <w:tr w:rsidR="000E6DA9" w:rsidRPr="00656F95" w:rsidTr="00A55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0E6DA9" w:rsidRPr="00656F95" w:rsidRDefault="000E6DA9" w:rsidP="00A55243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4"/>
                <w:szCs w:val="24"/>
                <w:lang w:val="en-US"/>
              </w:rPr>
            </w:pPr>
            <w:r w:rsidRPr="00656F9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Documents</w:t>
            </w:r>
          </w:p>
        </w:tc>
        <w:tc>
          <w:tcPr>
            <w:tcW w:w="1161" w:type="dxa"/>
            <w:hideMark/>
          </w:tcPr>
          <w:p w:rsidR="000E6DA9" w:rsidRPr="00656F95" w:rsidRDefault="000E6DA9" w:rsidP="00A552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 w:rsidRPr="00656F95">
              <w:rPr>
                <w:rFonts w:ascii="Arial" w:hAnsi="Arial" w:cs="Arial"/>
                <w:sz w:val="24"/>
                <w:szCs w:val="24"/>
                <w:lang w:val="en-US"/>
              </w:rPr>
              <w:t>Original</w:t>
            </w:r>
          </w:p>
        </w:tc>
        <w:tc>
          <w:tcPr>
            <w:tcW w:w="740" w:type="dxa"/>
            <w:hideMark/>
          </w:tcPr>
          <w:p w:rsidR="000E6DA9" w:rsidRPr="00656F95" w:rsidRDefault="000E6DA9" w:rsidP="00A552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  <w:r w:rsidRPr="00656F95">
              <w:rPr>
                <w:rFonts w:ascii="Arial" w:hAnsi="Arial" w:cs="Arial"/>
                <w:sz w:val="24"/>
                <w:szCs w:val="24"/>
                <w:lang w:val="en-US"/>
              </w:rPr>
              <w:t>Copy</w:t>
            </w:r>
          </w:p>
        </w:tc>
      </w:tr>
      <w:tr w:rsidR="000E6DA9" w:rsidRPr="00656F95" w:rsidTr="00A55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0E6DA9" w:rsidRPr="00656F95" w:rsidRDefault="000E6DA9" w:rsidP="000E6DA9">
            <w:pPr>
              <w:numPr>
                <w:ilvl w:val="0"/>
                <w:numId w:val="7"/>
              </w:numPr>
              <w:ind w:left="284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6F9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A postulation letter must be delivered from the highest authority of the place of work directed to the IFARHU General Director Sonia de </w:t>
            </w:r>
            <w:proofErr w:type="spellStart"/>
            <w:r w:rsidRPr="00656F9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Luzcando</w:t>
            </w:r>
            <w:proofErr w:type="spellEnd"/>
            <w:r w:rsidRPr="00656F95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161" w:type="dxa"/>
            <w:hideMark/>
          </w:tcPr>
          <w:p w:rsidR="000E6DA9" w:rsidRPr="00656F95" w:rsidRDefault="000E6DA9" w:rsidP="00A55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56F95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0E6DA9" w:rsidRPr="00656F95" w:rsidRDefault="000E6DA9" w:rsidP="00A55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56F95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0E6DA9" w:rsidRPr="00656F95" w:rsidTr="00A552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0E6DA9" w:rsidRPr="00656F95" w:rsidRDefault="000E6DA9" w:rsidP="000E6DA9">
            <w:pPr>
              <w:numPr>
                <w:ilvl w:val="0"/>
                <w:numId w:val="7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6F95">
              <w:rPr>
                <w:rFonts w:ascii="Arial" w:hAnsi="Arial" w:cs="Arial"/>
                <w:sz w:val="24"/>
                <w:szCs w:val="24"/>
                <w:lang w:val="en-US"/>
              </w:rPr>
              <w:t xml:space="preserve">To fill out the IFARHU International Form. </w:t>
            </w:r>
          </w:p>
        </w:tc>
        <w:tc>
          <w:tcPr>
            <w:tcW w:w="1161" w:type="dxa"/>
            <w:hideMark/>
          </w:tcPr>
          <w:p w:rsidR="000E6DA9" w:rsidRPr="00656F95" w:rsidRDefault="000E6DA9" w:rsidP="00A552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56F95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0E6DA9" w:rsidRPr="00656F95" w:rsidRDefault="000E6DA9" w:rsidP="00A552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56F95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0E6DA9" w:rsidRPr="00656F95" w:rsidTr="00A55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0E6DA9" w:rsidRPr="00656F95" w:rsidRDefault="000E6DA9" w:rsidP="000E6DA9">
            <w:pPr>
              <w:numPr>
                <w:ilvl w:val="0"/>
                <w:numId w:val="7"/>
              </w:numPr>
              <w:ind w:left="284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6F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Tax</w:t>
            </w:r>
            <w:proofErr w:type="spellEnd"/>
            <w:r w:rsidRPr="00656F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56F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clear</w:t>
            </w:r>
            <w:proofErr w:type="spellEnd"/>
            <w:r w:rsidRPr="00656F9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(B/. 1.00) - Paz y Salvo.</w:t>
            </w:r>
          </w:p>
        </w:tc>
        <w:tc>
          <w:tcPr>
            <w:tcW w:w="1161" w:type="dxa"/>
            <w:hideMark/>
          </w:tcPr>
          <w:p w:rsidR="000E6DA9" w:rsidRPr="00656F95" w:rsidRDefault="000E6DA9" w:rsidP="00A55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56F95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0E6DA9" w:rsidRPr="00656F95" w:rsidRDefault="000E6DA9" w:rsidP="00A55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56F95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</w:tr>
      <w:tr w:rsidR="000E6DA9" w:rsidRPr="00656F95" w:rsidTr="00A552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0E6DA9" w:rsidRPr="00656F95" w:rsidRDefault="000E6DA9" w:rsidP="000E6DA9">
            <w:pPr>
              <w:numPr>
                <w:ilvl w:val="0"/>
                <w:numId w:val="7"/>
              </w:numPr>
              <w:ind w:left="284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/>
              </w:rPr>
            </w:pPr>
            <w:r w:rsidRPr="00656F9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Program Special Form: </w:t>
            </w:r>
            <w:hyperlink r:id="rId13" w:history="1">
              <w:r w:rsidRPr="00656F95">
                <w:rPr>
                  <w:rStyle w:val="Hipervnculo"/>
                  <w:rFonts w:ascii="Arial" w:eastAsia="Times New Roman" w:hAnsi="Arial" w:cs="Arial"/>
                  <w:sz w:val="24"/>
                  <w:szCs w:val="24"/>
                  <w:lang w:val="en-US"/>
                </w:rPr>
                <w:t>http://www.scp.gov.sg/content/scp/courses_offered_applicationprocedure/application_procedure.html</w:t>
              </w:r>
            </w:hyperlink>
            <w:r w:rsidRPr="00656F9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61" w:type="dxa"/>
            <w:hideMark/>
          </w:tcPr>
          <w:p w:rsidR="000E6DA9" w:rsidRPr="00656F95" w:rsidRDefault="000E6DA9" w:rsidP="00A552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56F95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0E6DA9" w:rsidRPr="00656F95" w:rsidRDefault="000E6DA9" w:rsidP="00A552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56F95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</w:tr>
      <w:tr w:rsidR="000E6DA9" w:rsidRPr="00656F95" w:rsidTr="00A55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0E6DA9" w:rsidRPr="00656F95" w:rsidRDefault="000E6DA9" w:rsidP="000E6DA9">
            <w:pPr>
              <w:numPr>
                <w:ilvl w:val="0"/>
                <w:numId w:val="7"/>
              </w:numPr>
              <w:ind w:left="284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/>
              </w:rPr>
            </w:pPr>
            <w:r w:rsidRPr="00656F9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Pictures</w:t>
            </w:r>
          </w:p>
        </w:tc>
        <w:tc>
          <w:tcPr>
            <w:tcW w:w="1161" w:type="dxa"/>
            <w:hideMark/>
          </w:tcPr>
          <w:p w:rsidR="000E6DA9" w:rsidRPr="00656F95" w:rsidRDefault="000E6DA9" w:rsidP="00A55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56F95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40" w:type="dxa"/>
            <w:hideMark/>
          </w:tcPr>
          <w:p w:rsidR="000E6DA9" w:rsidRPr="00656F95" w:rsidRDefault="000E6DA9" w:rsidP="00A552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PA"/>
              </w:rPr>
            </w:pPr>
          </w:p>
        </w:tc>
      </w:tr>
      <w:tr w:rsidR="000E6DA9" w:rsidRPr="00656F95" w:rsidTr="00A552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0E6DA9" w:rsidRPr="00656F95" w:rsidRDefault="000E6DA9" w:rsidP="000E6DA9">
            <w:pPr>
              <w:numPr>
                <w:ilvl w:val="0"/>
                <w:numId w:val="7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6F9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College Diploma*</w:t>
            </w:r>
          </w:p>
        </w:tc>
        <w:tc>
          <w:tcPr>
            <w:tcW w:w="1161" w:type="dxa"/>
            <w:hideMark/>
          </w:tcPr>
          <w:p w:rsidR="000E6DA9" w:rsidRPr="00656F95" w:rsidRDefault="000E6DA9" w:rsidP="00A552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56F95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40" w:type="dxa"/>
            <w:hideMark/>
          </w:tcPr>
          <w:p w:rsidR="000E6DA9" w:rsidRPr="00656F95" w:rsidRDefault="000E6DA9" w:rsidP="00A552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56F95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0E6DA9" w:rsidRPr="00656F95" w:rsidTr="00A55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0E6DA9" w:rsidRPr="00656F95" w:rsidRDefault="000E6DA9" w:rsidP="000E6DA9">
            <w:pPr>
              <w:numPr>
                <w:ilvl w:val="0"/>
                <w:numId w:val="7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6F9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College Credits*</w:t>
            </w:r>
          </w:p>
        </w:tc>
        <w:tc>
          <w:tcPr>
            <w:tcW w:w="1161" w:type="dxa"/>
            <w:hideMark/>
          </w:tcPr>
          <w:p w:rsidR="000E6DA9" w:rsidRPr="00656F95" w:rsidRDefault="000E6DA9" w:rsidP="00A55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56F95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40" w:type="dxa"/>
            <w:hideMark/>
          </w:tcPr>
          <w:p w:rsidR="000E6DA9" w:rsidRPr="00656F95" w:rsidRDefault="000E6DA9" w:rsidP="00A55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56F95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0E6DA9" w:rsidRPr="00656F95" w:rsidTr="00A552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0E6DA9" w:rsidRPr="00656F95" w:rsidRDefault="000E6DA9" w:rsidP="000E6DA9">
            <w:pPr>
              <w:numPr>
                <w:ilvl w:val="0"/>
                <w:numId w:val="7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6F9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Curriculum Vitae.</w:t>
            </w:r>
          </w:p>
        </w:tc>
        <w:tc>
          <w:tcPr>
            <w:tcW w:w="1161" w:type="dxa"/>
            <w:hideMark/>
          </w:tcPr>
          <w:p w:rsidR="000E6DA9" w:rsidRPr="00656F95" w:rsidRDefault="000E6DA9" w:rsidP="00A552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56F95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40" w:type="dxa"/>
            <w:hideMark/>
          </w:tcPr>
          <w:p w:rsidR="000E6DA9" w:rsidRPr="00656F95" w:rsidRDefault="000E6DA9" w:rsidP="00A552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56F95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0E6DA9" w:rsidRPr="00656F95" w:rsidTr="00A55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0E6DA9" w:rsidRPr="00656F95" w:rsidRDefault="000E6DA9" w:rsidP="000E6DA9">
            <w:pPr>
              <w:numPr>
                <w:ilvl w:val="0"/>
                <w:numId w:val="7"/>
              </w:numPr>
              <w:ind w:left="28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6F9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ID card, both sides*</w:t>
            </w:r>
          </w:p>
        </w:tc>
        <w:tc>
          <w:tcPr>
            <w:tcW w:w="1161" w:type="dxa"/>
            <w:hideMark/>
          </w:tcPr>
          <w:p w:rsidR="000E6DA9" w:rsidRPr="00656F95" w:rsidRDefault="000E6DA9" w:rsidP="00A55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56F95">
              <w:rPr>
                <w:rFonts w:ascii="Arial" w:hAnsi="Arial" w:cs="Arial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740" w:type="dxa"/>
            <w:hideMark/>
          </w:tcPr>
          <w:p w:rsidR="000E6DA9" w:rsidRPr="00656F95" w:rsidRDefault="000E6DA9" w:rsidP="00A55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56F95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0E6DA9" w:rsidRPr="00656F95" w:rsidTr="00A552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0E6DA9" w:rsidRPr="00656F95" w:rsidRDefault="000E6DA9" w:rsidP="000E6DA9">
            <w:pPr>
              <w:numPr>
                <w:ilvl w:val="0"/>
                <w:numId w:val="7"/>
              </w:numPr>
              <w:ind w:left="284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/>
              </w:rPr>
            </w:pPr>
            <w:r w:rsidRPr="00656F9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Passport*</w:t>
            </w:r>
          </w:p>
        </w:tc>
        <w:tc>
          <w:tcPr>
            <w:tcW w:w="1161" w:type="dxa"/>
            <w:hideMark/>
          </w:tcPr>
          <w:p w:rsidR="000E6DA9" w:rsidRPr="00656F95" w:rsidRDefault="000E6DA9" w:rsidP="00A552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es-PA"/>
              </w:rPr>
            </w:pPr>
          </w:p>
        </w:tc>
        <w:tc>
          <w:tcPr>
            <w:tcW w:w="740" w:type="dxa"/>
            <w:hideMark/>
          </w:tcPr>
          <w:p w:rsidR="000E6DA9" w:rsidRPr="00656F95" w:rsidRDefault="000E6DA9" w:rsidP="00A5524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56F95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</w:tr>
      <w:tr w:rsidR="000E6DA9" w:rsidRPr="00656F95" w:rsidTr="00A55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64" w:type="dxa"/>
            <w:hideMark/>
          </w:tcPr>
          <w:p w:rsidR="000E6DA9" w:rsidRPr="00656F95" w:rsidRDefault="000E6DA9" w:rsidP="000E6DA9">
            <w:pPr>
              <w:numPr>
                <w:ilvl w:val="0"/>
                <w:numId w:val="7"/>
              </w:numPr>
              <w:ind w:left="284"/>
              <w:rPr>
                <w:rFonts w:ascii="Arial" w:eastAsia="Times New Roman" w:hAnsi="Arial" w:cs="Arial"/>
                <w:bCs w:val="0"/>
                <w:color w:val="000000"/>
                <w:sz w:val="24"/>
                <w:szCs w:val="24"/>
                <w:lang w:val="en-US"/>
              </w:rPr>
            </w:pPr>
            <w:r w:rsidRPr="00656F95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Medical certificate</w:t>
            </w:r>
          </w:p>
        </w:tc>
        <w:tc>
          <w:tcPr>
            <w:tcW w:w="1161" w:type="dxa"/>
            <w:hideMark/>
          </w:tcPr>
          <w:p w:rsidR="000E6DA9" w:rsidRPr="00656F95" w:rsidRDefault="000E6DA9" w:rsidP="00A55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56F95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40" w:type="dxa"/>
            <w:hideMark/>
          </w:tcPr>
          <w:p w:rsidR="000E6DA9" w:rsidRPr="00656F95" w:rsidRDefault="000E6DA9" w:rsidP="00A552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656F95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</w:p>
        </w:tc>
      </w:tr>
    </w:tbl>
    <w:p w:rsidR="000E6DA9" w:rsidRPr="00656F95" w:rsidRDefault="000E6DA9" w:rsidP="000E6DA9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656F95" w:rsidRPr="00656F95" w:rsidRDefault="00656F95" w:rsidP="000E6DA9">
      <w:pPr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0E6DA9" w:rsidRDefault="000E6DA9" w:rsidP="000E6DA9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656F95">
        <w:rPr>
          <w:rFonts w:ascii="Arial" w:hAnsi="Arial" w:cs="Arial"/>
          <w:b/>
          <w:sz w:val="24"/>
          <w:szCs w:val="24"/>
          <w:lang w:val="en-US"/>
        </w:rPr>
        <w:t>OBSERVATIONS</w:t>
      </w:r>
    </w:p>
    <w:p w:rsidR="00141109" w:rsidRPr="00656F95" w:rsidRDefault="00141109" w:rsidP="00141109">
      <w:pPr>
        <w:pStyle w:val="Prrafodelista"/>
        <w:spacing w:after="0"/>
        <w:rPr>
          <w:rFonts w:ascii="Arial" w:hAnsi="Arial" w:cs="Arial"/>
          <w:b/>
          <w:sz w:val="24"/>
          <w:szCs w:val="24"/>
          <w:lang w:val="en-US"/>
        </w:rPr>
      </w:pPr>
    </w:p>
    <w:p w:rsidR="000E6DA9" w:rsidRPr="00656F95" w:rsidRDefault="000E6DA9" w:rsidP="000E6DA9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656F95">
        <w:rPr>
          <w:rFonts w:ascii="Arial" w:hAnsi="Arial" w:cs="Arial"/>
          <w:sz w:val="24"/>
          <w:szCs w:val="24"/>
          <w:lang w:val="en-US"/>
        </w:rPr>
        <w:t>All the documents with* (Asterisk) need to be authenticate at IFARHU Ground Floor.</w:t>
      </w:r>
    </w:p>
    <w:p w:rsidR="000E6DA9" w:rsidRPr="00656F95" w:rsidRDefault="000E6DA9" w:rsidP="000E6DA9">
      <w:pPr>
        <w:numPr>
          <w:ilvl w:val="0"/>
          <w:numId w:val="8"/>
        </w:numPr>
        <w:spacing w:after="0"/>
        <w:contextualSpacing/>
        <w:jc w:val="both"/>
        <w:rPr>
          <w:rFonts w:ascii="Arial" w:eastAsia="Calibri" w:hAnsi="Arial" w:cs="Arial"/>
          <w:sz w:val="24"/>
          <w:szCs w:val="24"/>
          <w:lang w:val="en-US"/>
        </w:rPr>
      </w:pPr>
      <w:r w:rsidRPr="00656F95">
        <w:rPr>
          <w:rFonts w:ascii="Arial" w:eastAsia="Calibri" w:hAnsi="Arial" w:cs="Arial"/>
          <w:sz w:val="24"/>
          <w:szCs w:val="24"/>
          <w:lang w:val="en-US"/>
        </w:rPr>
        <w:t>The Regional Office on the exterior of Panama, have to present the entire necessary document 3 days before the closing date in the Office Panama-Central.</w:t>
      </w:r>
    </w:p>
    <w:p w:rsidR="000E6DA9" w:rsidRDefault="000E6DA9" w:rsidP="000E6DA9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656F95" w:rsidRPr="00656F95" w:rsidRDefault="00656F95" w:rsidP="000E6DA9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</w:p>
    <w:p w:rsidR="000E6DA9" w:rsidRPr="00656F95" w:rsidRDefault="00595D9D" w:rsidP="000E6DA9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hyperlink r:id="rId14" w:history="1">
        <w:r w:rsidR="000E6DA9" w:rsidRPr="00656F95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yquintero@ifarhu.gob.pa</w:t>
        </w:r>
      </w:hyperlink>
      <w:r w:rsidR="000E6DA9" w:rsidRPr="00656F95">
        <w:rPr>
          <w:rFonts w:ascii="Arial" w:hAnsi="Arial" w:cs="Arial"/>
          <w:color w:val="0000FF"/>
          <w:sz w:val="24"/>
          <w:szCs w:val="24"/>
          <w:u w:val="single"/>
          <w:lang w:val="en-US"/>
        </w:rPr>
        <w:t xml:space="preserve"> </w:t>
      </w:r>
      <w:r w:rsidR="000E6DA9" w:rsidRPr="00656F95">
        <w:rPr>
          <w:rFonts w:ascii="Arial" w:hAnsi="Arial" w:cs="Arial"/>
          <w:sz w:val="24"/>
          <w:szCs w:val="24"/>
          <w:lang w:val="en-US"/>
        </w:rPr>
        <w:t xml:space="preserve">; </w:t>
      </w:r>
      <w:hyperlink r:id="rId15" w:history="1">
        <w:r w:rsidR="000E6DA9" w:rsidRPr="00656F95">
          <w:rPr>
            <w:rFonts w:ascii="Arial" w:hAnsi="Arial" w:cs="Arial"/>
            <w:color w:val="0000FF"/>
            <w:sz w:val="24"/>
            <w:szCs w:val="24"/>
            <w:u w:val="single"/>
            <w:lang w:val="en-US"/>
          </w:rPr>
          <w:t>nedominguez@ifarhu.gob.pa</w:t>
        </w:r>
      </w:hyperlink>
      <w:r w:rsidR="000E6DA9" w:rsidRPr="00656F95">
        <w:rPr>
          <w:rFonts w:ascii="Arial" w:hAnsi="Arial" w:cs="Arial"/>
          <w:sz w:val="24"/>
          <w:szCs w:val="24"/>
          <w:lang w:val="en-US"/>
        </w:rPr>
        <w:t>;</w:t>
      </w:r>
    </w:p>
    <w:p w:rsidR="000E6DA9" w:rsidRPr="00656F95" w:rsidRDefault="000E6DA9" w:rsidP="000E6DA9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656F95">
        <w:rPr>
          <w:rFonts w:ascii="Arial" w:hAnsi="Arial" w:cs="Arial"/>
          <w:color w:val="000000"/>
          <w:sz w:val="24"/>
          <w:szCs w:val="24"/>
        </w:rPr>
        <w:t>Departamento de Becas Internacionales, Piso N° 6, Tel: 500-4719. Ext. 2179</w:t>
      </w:r>
    </w:p>
    <w:p w:rsidR="000E6DA9" w:rsidRPr="00656F95" w:rsidRDefault="000E6DA9" w:rsidP="000E6DA9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656F95">
        <w:rPr>
          <w:rFonts w:ascii="Arial" w:hAnsi="Arial" w:cs="Arial"/>
          <w:color w:val="000000"/>
          <w:sz w:val="24"/>
          <w:szCs w:val="24"/>
        </w:rPr>
        <w:t xml:space="preserve">Edificio: </w:t>
      </w:r>
      <w:proofErr w:type="spellStart"/>
      <w:r w:rsidRPr="00656F95">
        <w:rPr>
          <w:rFonts w:ascii="Arial" w:hAnsi="Arial" w:cs="Arial"/>
          <w:color w:val="000000"/>
          <w:sz w:val="24"/>
          <w:szCs w:val="24"/>
        </w:rPr>
        <w:t>Unicorp</w:t>
      </w:r>
      <w:proofErr w:type="spellEnd"/>
      <w:r w:rsidRPr="00656F95">
        <w:rPr>
          <w:rFonts w:ascii="Arial" w:hAnsi="Arial" w:cs="Arial"/>
          <w:color w:val="000000"/>
          <w:sz w:val="24"/>
          <w:szCs w:val="24"/>
        </w:rPr>
        <w:t xml:space="preserve"> Business Plaza;</w:t>
      </w:r>
    </w:p>
    <w:p w:rsidR="000E6DA9" w:rsidRPr="00656F95" w:rsidRDefault="000E6DA9" w:rsidP="000E6DA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56F95">
        <w:rPr>
          <w:rFonts w:ascii="Arial" w:hAnsi="Arial" w:cs="Arial"/>
          <w:color w:val="000000"/>
          <w:sz w:val="24"/>
          <w:szCs w:val="24"/>
        </w:rPr>
        <w:lastRenderedPageBreak/>
        <w:t>Calle Ramón Arias, Urb. del Carmen</w:t>
      </w:r>
    </w:p>
    <w:p w:rsidR="00EA6D76" w:rsidRPr="00656F95" w:rsidRDefault="00EA6D76">
      <w:pPr>
        <w:rPr>
          <w:rFonts w:ascii="Arial" w:hAnsi="Arial" w:cs="Arial"/>
          <w:sz w:val="24"/>
          <w:szCs w:val="24"/>
        </w:rPr>
      </w:pPr>
    </w:p>
    <w:sectPr w:rsidR="00EA6D76" w:rsidRPr="00656F95" w:rsidSect="00074514">
      <w:headerReference w:type="default" r:id="rId16"/>
      <w:pgSz w:w="12240" w:h="15840"/>
      <w:pgMar w:top="1417" w:right="1701" w:bottom="1417" w:left="1701" w:header="708" w:footer="708" w:gutter="0"/>
      <w:pgBorders w:offsetFrom="page">
        <w:top w:val="single" w:sz="24" w:space="24" w:color="31849B" w:themeColor="accent5" w:themeShade="BF"/>
        <w:left w:val="single" w:sz="24" w:space="24" w:color="31849B" w:themeColor="accent5" w:themeShade="BF"/>
        <w:bottom w:val="single" w:sz="24" w:space="24" w:color="31849B" w:themeColor="accent5" w:themeShade="BF"/>
        <w:right w:val="single" w:sz="24" w:space="24" w:color="31849B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D9D" w:rsidRDefault="00595D9D" w:rsidP="004F7CD1">
      <w:pPr>
        <w:spacing w:after="0" w:line="240" w:lineRule="auto"/>
      </w:pPr>
      <w:r>
        <w:separator/>
      </w:r>
    </w:p>
  </w:endnote>
  <w:endnote w:type="continuationSeparator" w:id="0">
    <w:p w:rsidR="00595D9D" w:rsidRDefault="00595D9D" w:rsidP="004F7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D9D" w:rsidRDefault="00595D9D" w:rsidP="004F7CD1">
      <w:pPr>
        <w:spacing w:after="0" w:line="240" w:lineRule="auto"/>
      </w:pPr>
      <w:r>
        <w:separator/>
      </w:r>
    </w:p>
  </w:footnote>
  <w:footnote w:type="continuationSeparator" w:id="0">
    <w:p w:rsidR="00595D9D" w:rsidRDefault="00595D9D" w:rsidP="004F7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AB7" w:rsidRPr="00E842F0" w:rsidRDefault="00392008" w:rsidP="009D6AB7">
    <w:pPr>
      <w:pStyle w:val="Encabezado"/>
      <w:jc w:val="center"/>
      <w:rPr>
        <w:rFonts w:ascii="Estrangelo Edessa" w:hAnsi="Estrangelo Edessa" w:cs="Estrangelo Edessa"/>
        <w:b/>
        <w:sz w:val="28"/>
        <w:szCs w:val="28"/>
      </w:rPr>
    </w:pPr>
    <w:proofErr w:type="spellStart"/>
    <w:r w:rsidRPr="00E842F0">
      <w:rPr>
        <w:rFonts w:ascii="Estrangelo Edessa" w:hAnsi="Estrangelo Edessa" w:cs="Estrangelo Edessa"/>
        <w:b/>
        <w:sz w:val="28"/>
        <w:szCs w:val="28"/>
      </w:rPr>
      <w:t>Course</w:t>
    </w:r>
    <w:proofErr w:type="spellEnd"/>
    <w:r w:rsidRPr="00E842F0">
      <w:rPr>
        <w:rFonts w:ascii="Estrangelo Edessa" w:hAnsi="Estrangelo Edessa" w:cs="Estrangelo Edessa"/>
        <w:b/>
        <w:sz w:val="28"/>
        <w:szCs w:val="28"/>
      </w:rPr>
      <w:t xml:space="preserve"> </w:t>
    </w:r>
    <w:r w:rsidR="00D91FBA">
      <w:rPr>
        <w:rFonts w:ascii="Estrangelo Edessa" w:hAnsi="Estrangelo Edessa" w:cs="Estrangelo Edessa"/>
        <w:b/>
        <w:sz w:val="28"/>
        <w:szCs w:val="28"/>
      </w:rPr>
      <w:t>51-</w:t>
    </w:r>
    <w:r w:rsidRPr="00E842F0">
      <w:rPr>
        <w:rFonts w:ascii="Estrangelo Edessa" w:hAnsi="Estrangelo Edessa" w:cs="Estrangelo Edessa"/>
        <w:b/>
        <w:sz w:val="28"/>
        <w:szCs w:val="28"/>
      </w:rPr>
      <w:t>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BD10297_"/>
      </v:shape>
    </w:pict>
  </w:numPicBullet>
  <w:numPicBullet w:numPicBulletId="1">
    <w:pict>
      <v:shape id="_x0000_i1033" type="#_x0000_t75" style="width:9pt;height:9pt" o:bullet="t">
        <v:imagedata r:id="rId2" o:title="BD14533_"/>
      </v:shape>
    </w:pict>
  </w:numPicBullet>
  <w:numPicBullet w:numPicBulletId="2">
    <w:pict>
      <v:shape id="_x0000_i1034" type="#_x0000_t75" style="width:9pt;height:9pt" o:bullet="t">
        <v:imagedata r:id="rId3" o:title="BD10336_"/>
      </v:shape>
    </w:pict>
  </w:numPicBullet>
  <w:abstractNum w:abstractNumId="0">
    <w:nsid w:val="171779BF"/>
    <w:multiLevelType w:val="hybridMultilevel"/>
    <w:tmpl w:val="622C972A"/>
    <w:lvl w:ilvl="0" w:tplc="8BB65744">
      <w:start w:val="1"/>
      <w:numFmt w:val="lowerRoman"/>
      <w:lvlText w:val="%1."/>
      <w:lvlJc w:val="left"/>
      <w:pPr>
        <w:ind w:left="720" w:hanging="360"/>
      </w:pPr>
      <w:rPr>
        <w:rFonts w:hint="default"/>
        <w:color w:val="006666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653B1"/>
    <w:multiLevelType w:val="hybridMultilevel"/>
    <w:tmpl w:val="9746F0A4"/>
    <w:lvl w:ilvl="0" w:tplc="5E345AF4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1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8C3266"/>
    <w:multiLevelType w:val="hybridMultilevel"/>
    <w:tmpl w:val="6E867682"/>
    <w:lvl w:ilvl="0" w:tplc="028ABFA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5544CC"/>
    <w:multiLevelType w:val="hybridMultilevel"/>
    <w:tmpl w:val="1B305B1C"/>
    <w:lvl w:ilvl="0" w:tplc="A3B25A1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11C1C"/>
    <w:multiLevelType w:val="hybridMultilevel"/>
    <w:tmpl w:val="287C8AC8"/>
    <w:lvl w:ilvl="0" w:tplc="A3B25A1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A24FC7"/>
    <w:multiLevelType w:val="hybridMultilevel"/>
    <w:tmpl w:val="8604D3A0"/>
    <w:lvl w:ilvl="0" w:tplc="A3B25A1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DB2EBD"/>
    <w:multiLevelType w:val="hybridMultilevel"/>
    <w:tmpl w:val="7A64DF3C"/>
    <w:lvl w:ilvl="0" w:tplc="A3B25A1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95740C"/>
    <w:multiLevelType w:val="hybridMultilevel"/>
    <w:tmpl w:val="E73EF032"/>
    <w:lvl w:ilvl="0" w:tplc="4FA009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DA9"/>
    <w:rsid w:val="000E6DA9"/>
    <w:rsid w:val="00141109"/>
    <w:rsid w:val="00392008"/>
    <w:rsid w:val="004314AB"/>
    <w:rsid w:val="0045196A"/>
    <w:rsid w:val="004642D2"/>
    <w:rsid w:val="004F7CD1"/>
    <w:rsid w:val="00506CE8"/>
    <w:rsid w:val="00584DAD"/>
    <w:rsid w:val="00595D9D"/>
    <w:rsid w:val="00635ECE"/>
    <w:rsid w:val="00656F95"/>
    <w:rsid w:val="00697546"/>
    <w:rsid w:val="00737CD4"/>
    <w:rsid w:val="007B1899"/>
    <w:rsid w:val="0094295C"/>
    <w:rsid w:val="009E419C"/>
    <w:rsid w:val="00AE1770"/>
    <w:rsid w:val="00B21417"/>
    <w:rsid w:val="00BE1C76"/>
    <w:rsid w:val="00C03943"/>
    <w:rsid w:val="00C55AB2"/>
    <w:rsid w:val="00CB572D"/>
    <w:rsid w:val="00D91FBA"/>
    <w:rsid w:val="00EA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DA9"/>
    <w:rPr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A9"/>
    <w:rPr>
      <w:lang w:val="es-PA"/>
    </w:rPr>
  </w:style>
  <w:style w:type="paragraph" w:styleId="Prrafodelista">
    <w:name w:val="List Paragraph"/>
    <w:basedOn w:val="Normal"/>
    <w:uiPriority w:val="34"/>
    <w:qFormat/>
    <w:rsid w:val="000E6DA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6DA9"/>
    <w:rPr>
      <w:color w:val="0000FF"/>
      <w:u w:val="single"/>
    </w:rPr>
  </w:style>
  <w:style w:type="table" w:styleId="Cuadrculaclara-nfasis3">
    <w:name w:val="Light Grid Accent 3"/>
    <w:basedOn w:val="Tablanormal"/>
    <w:uiPriority w:val="62"/>
    <w:rsid w:val="000E6DA9"/>
    <w:pPr>
      <w:spacing w:after="0" w:line="240" w:lineRule="auto"/>
    </w:pPr>
    <w:rPr>
      <w:lang w:val="es-P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4F7C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7CD1"/>
    <w:rPr>
      <w:lang w:val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7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546"/>
    <w:rPr>
      <w:rFonts w:ascii="Tahoma" w:hAnsi="Tahoma" w:cs="Tahoma"/>
      <w:sz w:val="16"/>
      <w:szCs w:val="16"/>
      <w:lang w:val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DA9"/>
    <w:rPr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A9"/>
    <w:rPr>
      <w:lang w:val="es-PA"/>
    </w:rPr>
  </w:style>
  <w:style w:type="paragraph" w:styleId="Prrafodelista">
    <w:name w:val="List Paragraph"/>
    <w:basedOn w:val="Normal"/>
    <w:uiPriority w:val="34"/>
    <w:qFormat/>
    <w:rsid w:val="000E6DA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6DA9"/>
    <w:rPr>
      <w:color w:val="0000FF"/>
      <w:u w:val="single"/>
    </w:rPr>
  </w:style>
  <w:style w:type="table" w:styleId="Cuadrculaclara-nfasis3">
    <w:name w:val="Light Grid Accent 3"/>
    <w:basedOn w:val="Tablanormal"/>
    <w:uiPriority w:val="62"/>
    <w:rsid w:val="000E6DA9"/>
    <w:pPr>
      <w:spacing w:after="0" w:line="240" w:lineRule="auto"/>
    </w:pPr>
    <w:rPr>
      <w:lang w:val="es-P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Piedepgina">
    <w:name w:val="footer"/>
    <w:basedOn w:val="Normal"/>
    <w:link w:val="PiedepginaCar"/>
    <w:uiPriority w:val="99"/>
    <w:unhideWhenUsed/>
    <w:rsid w:val="004F7C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7CD1"/>
    <w:rPr>
      <w:lang w:val="es-P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7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546"/>
    <w:rPr>
      <w:rFonts w:ascii="Tahoma" w:hAnsi="Tahoma" w:cs="Tahoma"/>
      <w:sz w:val="16"/>
      <w:szCs w:val="16"/>
      <w:lang w:val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scp.gov.sg/content/scp/courses_offered_applicationprocedure/application_procedure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hyperlink" Target="mailto:nedominguez@ifarhu.gob.pa" TargetMode="Externa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hyperlink" Target="mailto:yquintero@ifarhu.gob.pa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773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Yadira Quintero</dc:creator>
  <cp:lastModifiedBy>Marta de De Leon</cp:lastModifiedBy>
  <cp:revision>2</cp:revision>
  <dcterms:created xsi:type="dcterms:W3CDTF">2015-05-15T17:46:00Z</dcterms:created>
  <dcterms:modified xsi:type="dcterms:W3CDTF">2015-05-15T17:46:00Z</dcterms:modified>
</cp:coreProperties>
</file>