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740D88" w:rsidRDefault="00740D88" w:rsidP="00740D88">
      <w:pPr>
        <w:tabs>
          <w:tab w:val="left" w:pos="3165"/>
        </w:tabs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740D88" w:rsidRDefault="00740D88" w:rsidP="00740D88">
      <w:pPr>
        <w:tabs>
          <w:tab w:val="left" w:pos="3165"/>
        </w:tabs>
        <w:jc w:val="center"/>
        <w:rPr>
          <w:rFonts w:ascii="Lucida Calligraphy" w:hAnsi="Lucida Calligraphy" w:cs="Arial"/>
          <w:sz w:val="24"/>
          <w:szCs w:val="24"/>
          <w:lang w:val="en-US"/>
        </w:rPr>
      </w:pPr>
      <w:r w:rsidRPr="00740D88">
        <w:rPr>
          <w:rFonts w:ascii="Lucida Calligraphy" w:hAnsi="Lucida Calligraphy" w:cs="Arial"/>
          <w:sz w:val="24"/>
          <w:szCs w:val="24"/>
          <w:lang w:val="en-US"/>
        </w:rPr>
        <w:t>AIRCRAFT ACCIDENT INVESTIGATION TECHNIQUES AND</w:t>
      </w:r>
    </w:p>
    <w:p w:rsidR="00740D88" w:rsidRPr="00740D88" w:rsidRDefault="00740D88" w:rsidP="00740D88">
      <w:pPr>
        <w:tabs>
          <w:tab w:val="left" w:pos="3165"/>
        </w:tabs>
        <w:jc w:val="center"/>
        <w:rPr>
          <w:rFonts w:ascii="Lucida Calligraphy" w:hAnsi="Lucida Calligraphy" w:cs="Arial"/>
          <w:sz w:val="24"/>
          <w:szCs w:val="24"/>
          <w:lang w:val="en-US"/>
        </w:rPr>
      </w:pPr>
      <w:r w:rsidRPr="00740D88">
        <w:rPr>
          <w:rFonts w:ascii="Lucida Calligraphy" w:hAnsi="Lucida Calligraphy" w:cs="Arial"/>
          <w:sz w:val="24"/>
          <w:szCs w:val="24"/>
          <w:lang w:val="en-US"/>
        </w:rPr>
        <w:t>MANAGEMENT</w:t>
      </w:r>
      <w:r w:rsidRPr="00740D88">
        <w:rPr>
          <w:rFonts w:ascii="Lucida Calligraphy" w:hAnsi="Lucida Calligraphy"/>
          <w:noProof/>
          <w:lang w:val="es-PA" w:eastAsia="es-PA"/>
        </w:rPr>
        <w:drawing>
          <wp:anchor distT="0" distB="0" distL="114300" distR="114300" simplePos="0" relativeHeight="251661312" behindDoc="0" locked="0" layoutInCell="1" allowOverlap="1" wp14:anchorId="5A17258A" wp14:editId="4507F96C">
            <wp:simplePos x="0" y="0"/>
            <wp:positionH relativeFrom="column">
              <wp:posOffset>13970</wp:posOffset>
            </wp:positionH>
            <wp:positionV relativeFrom="paragraph">
              <wp:posOffset>705485</wp:posOffset>
            </wp:positionV>
            <wp:extent cx="2466975" cy="1849755"/>
            <wp:effectExtent l="323850" t="266700" r="352425" b="302895"/>
            <wp:wrapTopAndBottom/>
            <wp:docPr id="5" name="Imagen 5" descr="https://encrypted-tbn0.gstatic.com/images?q=tbn:ANd9GcRfEt_DG8khPHpePBEtqjhkoM9B0okJgjfnWB-AM-Uil5y2rl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fEt_DG8khPHpePBEtqjhkoM9B0okJgjfnWB-AM-Uil5y2rla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D88">
        <w:rPr>
          <w:rFonts w:ascii="Lucida Calligraphy" w:hAnsi="Lucida Calligraphy"/>
          <w:noProof/>
          <w:lang w:val="es-PA" w:eastAsia="es-PA"/>
        </w:rPr>
        <w:drawing>
          <wp:anchor distT="0" distB="0" distL="114300" distR="114300" simplePos="0" relativeHeight="251663360" behindDoc="0" locked="0" layoutInCell="1" allowOverlap="1" wp14:anchorId="5DF8795A" wp14:editId="205458B9">
            <wp:simplePos x="0" y="0"/>
            <wp:positionH relativeFrom="column">
              <wp:posOffset>1565910</wp:posOffset>
            </wp:positionH>
            <wp:positionV relativeFrom="paragraph">
              <wp:posOffset>1336675</wp:posOffset>
            </wp:positionV>
            <wp:extent cx="1945640" cy="1391920"/>
            <wp:effectExtent l="76200" t="76200" r="92710" b="875030"/>
            <wp:wrapTopAndBottom/>
            <wp:docPr id="7" name="Imagen 7" descr="https://encrypted-tbn1.gstatic.com/images?q=tbn:ANd9GcRiFuK9dSL6rs27nq5kVFppc_Dua9iJdULrIJL30iSYA3coSv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iFuK9dSL6rs27nq5kVFppc_Dua9iJdULrIJL30iSYA3coSv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39192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D88">
        <w:rPr>
          <w:rFonts w:ascii="Lucida Calligraphy" w:hAnsi="Lucida Calligraphy"/>
          <w:noProof/>
          <w:lang w:val="es-PA" w:eastAsia="es-PA"/>
        </w:rPr>
        <w:drawing>
          <wp:anchor distT="0" distB="0" distL="114300" distR="114300" simplePos="0" relativeHeight="251662336" behindDoc="0" locked="0" layoutInCell="1" allowOverlap="1" wp14:anchorId="5EDC81AE" wp14:editId="4C67CD32">
            <wp:simplePos x="0" y="0"/>
            <wp:positionH relativeFrom="column">
              <wp:posOffset>3202940</wp:posOffset>
            </wp:positionH>
            <wp:positionV relativeFrom="paragraph">
              <wp:posOffset>628650</wp:posOffset>
            </wp:positionV>
            <wp:extent cx="2466975" cy="1849755"/>
            <wp:effectExtent l="171450" t="171450" r="200025" b="188595"/>
            <wp:wrapTopAndBottom/>
            <wp:docPr id="6" name="Imagen 6" descr="https://encrypted-tbn0.gstatic.com/images?q=tbn:ANd9GcRI7T2nJOZhhrrMo3ykYrk3c4ypc9fme5voYAz0lAIvHVSQxy_K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I7T2nJOZhhrrMo3ykYrk3c4ypc9fme5voYAz0lAIvHVSQxy_K_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C58" w:rsidRPr="00394C3B" w:rsidRDefault="00D86C58" w:rsidP="00D86C58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D86C58" w:rsidRPr="00394C3B" w:rsidRDefault="00D86C58" w:rsidP="00D86C58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640861">
        <w:rPr>
          <w:rFonts w:ascii="Arial" w:hAnsi="Arial" w:cs="Arial"/>
          <w:b/>
          <w:sz w:val="24"/>
          <w:szCs w:val="24"/>
          <w:lang w:val="en-US"/>
        </w:rPr>
        <w:t xml:space="preserve">March 21, to April 1 </w:t>
      </w:r>
      <w:proofErr w:type="spellStart"/>
      <w:r w:rsidR="00640861">
        <w:rPr>
          <w:rFonts w:ascii="Arial" w:hAnsi="Arial" w:cs="Arial"/>
          <w:b/>
          <w:sz w:val="24"/>
          <w:szCs w:val="24"/>
          <w:lang w:val="en-US"/>
        </w:rPr>
        <w:t>th</w:t>
      </w:r>
      <w:proofErr w:type="spellEnd"/>
      <w:r w:rsidR="0064086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D86C58" w:rsidRPr="00394C3B" w:rsidRDefault="00D86C58" w:rsidP="00D86C58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640861">
        <w:rPr>
          <w:rFonts w:ascii="Arial" w:hAnsi="Arial" w:cs="Arial"/>
          <w:b/>
          <w:sz w:val="24"/>
          <w:szCs w:val="24"/>
          <w:lang w:val="en-US"/>
        </w:rPr>
        <w:t xml:space="preserve">January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2</w:t>
      </w:r>
      <w:r w:rsidR="00640861">
        <w:rPr>
          <w:rFonts w:ascii="Arial" w:hAnsi="Arial" w:cs="Arial"/>
          <w:b/>
          <w:sz w:val="24"/>
          <w:szCs w:val="24"/>
          <w:lang w:val="en-US"/>
        </w:rPr>
        <w:t>9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</w:t>
      </w:r>
      <w:r w:rsidR="00640861">
        <w:rPr>
          <w:rFonts w:ascii="Arial" w:hAnsi="Arial" w:cs="Arial"/>
          <w:b/>
          <w:sz w:val="24"/>
          <w:szCs w:val="24"/>
          <w:lang w:val="en-US"/>
        </w:rPr>
        <w:t>6</w:t>
      </w:r>
    </w:p>
    <w:p w:rsidR="00D86C58" w:rsidRPr="00394C3B" w:rsidRDefault="00D86C58" w:rsidP="00D86C58">
      <w:pPr>
        <w:rPr>
          <w:rFonts w:ascii="Arial" w:hAnsi="Arial" w:cs="Arial"/>
          <w:b/>
          <w:sz w:val="24"/>
          <w:szCs w:val="24"/>
          <w:lang w:val="en-US"/>
        </w:rPr>
      </w:pPr>
    </w:p>
    <w:p w:rsidR="00D86C58" w:rsidRDefault="00D86C58" w:rsidP="00D86C58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D86C58" w:rsidRPr="00394C3B" w:rsidRDefault="00D86C58" w:rsidP="00D86C58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740D88" w:rsidRPr="00394C3B" w:rsidRDefault="00D86C58" w:rsidP="00D86C5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an understanding of the </w:t>
      </w:r>
      <w:r w:rsidR="00286236">
        <w:rPr>
          <w:rFonts w:ascii="Arial" w:hAnsi="Arial" w:cs="Arial"/>
          <w:sz w:val="24"/>
          <w:szCs w:val="24"/>
          <w:lang w:val="en-US"/>
        </w:rPr>
        <w:t xml:space="preserve">complete aircraft accident investigation process, the knowledge and skills required to participate in and support formal investigations, and to conduct.  </w:t>
      </w:r>
      <w:proofErr w:type="gramStart"/>
      <w:r w:rsidR="00286236">
        <w:rPr>
          <w:rFonts w:ascii="Arial" w:hAnsi="Arial" w:cs="Arial"/>
          <w:sz w:val="24"/>
          <w:szCs w:val="24"/>
          <w:lang w:val="en-US"/>
        </w:rPr>
        <w:t>Safety  Management</w:t>
      </w:r>
      <w:proofErr w:type="gramEnd"/>
      <w:r w:rsidR="00286236">
        <w:rPr>
          <w:rFonts w:ascii="Arial" w:hAnsi="Arial" w:cs="Arial"/>
          <w:sz w:val="24"/>
          <w:szCs w:val="24"/>
          <w:lang w:val="en-US"/>
        </w:rPr>
        <w:t xml:space="preserve"> System (SMS) investigations in their own organizations. </w:t>
      </w:r>
    </w:p>
    <w:p w:rsidR="00D86C58" w:rsidRPr="00394C3B" w:rsidRDefault="00D86C58" w:rsidP="00D86C58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Synopsis and Methodology.</w:t>
      </w:r>
    </w:p>
    <w:p w:rsidR="00D86C58" w:rsidRPr="00394C3B" w:rsidRDefault="00D86C58" w:rsidP="00D86C5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D86C58" w:rsidRPr="00394C3B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ICAO Annex 13 </w:t>
      </w:r>
      <w:r w:rsidR="00D86C5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86C58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Preparation and on the investigation</w:t>
      </w:r>
    </w:p>
    <w:p w:rsidR="00D86C58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Technical and operations investigation</w:t>
      </w:r>
    </w:p>
    <w:p w:rsidR="00640861" w:rsidRDefault="00640861" w:rsidP="00740D8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Accident site safety</w:t>
      </w:r>
    </w:p>
    <w:p w:rsidR="00740D88" w:rsidRDefault="00740D88" w:rsidP="00740D88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740D88" w:rsidRPr="00740D88" w:rsidRDefault="00740D88" w:rsidP="00740D88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640861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Management of accident investigations</w:t>
      </w:r>
    </w:p>
    <w:p w:rsidR="00640861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Understanding human factors in aircraft accidents</w:t>
      </w:r>
    </w:p>
    <w:p w:rsidR="00640861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Aviation medicine and pathology</w:t>
      </w:r>
    </w:p>
    <w:p w:rsidR="00640861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Organizational factors in safety from airlines perspective</w:t>
      </w:r>
    </w:p>
    <w:p w:rsidR="00640861" w:rsidRDefault="00640861" w:rsidP="00D86C5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Approach and Landing Accident Reduction (ALAR) tool kit</w:t>
      </w:r>
    </w:p>
    <w:p w:rsidR="00D86C58" w:rsidRDefault="00640861" w:rsidP="00740D8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Writing the final report</w:t>
      </w:r>
    </w:p>
    <w:p w:rsidR="00740D88" w:rsidRPr="00740D88" w:rsidRDefault="00740D88" w:rsidP="00740D88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D86C58" w:rsidRPr="00394C3B" w:rsidRDefault="00D86C58" w:rsidP="00D86C5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D86C58" w:rsidRPr="001E788E" w:rsidRDefault="00D86C58" w:rsidP="00D86C58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D86C58" w:rsidRPr="001E788E" w:rsidRDefault="00640861" w:rsidP="001E788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Personnel involved in accident investigations or aviation safety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from accident investigation agencies, civil aviation authorities airport authorities/operation air navigation service providers, airlines, military and air force, law enforcement agencies, and emergency response teams.</w:t>
      </w:r>
    </w:p>
    <w:p w:rsidR="00740D88" w:rsidRDefault="00740D88" w:rsidP="00740D88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D86C58" w:rsidRPr="00394C3B" w:rsidRDefault="00D86C58" w:rsidP="00740D88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>REQUIRED DOCUMENTS</w:t>
      </w: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D86C58" w:rsidRPr="00394C3B" w:rsidTr="00854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8542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D86C58" w:rsidRPr="00394C3B" w:rsidTr="0085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D86C58" w:rsidRPr="00394C3B" w:rsidTr="00854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D86C58" w:rsidRPr="00394C3B" w:rsidTr="0085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D86C58" w:rsidRPr="00394C3B" w:rsidTr="00854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1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D86C58" w:rsidRPr="00394C3B" w:rsidTr="0085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D86C58" w:rsidRPr="00394C3B" w:rsidTr="00854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D86C58" w:rsidRPr="00394C3B" w:rsidTr="0085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D86C58" w:rsidRPr="00394C3B" w:rsidTr="00854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D86C58" w:rsidRPr="00394C3B" w:rsidTr="0085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D86C58" w:rsidRPr="00394C3B" w:rsidTr="00854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D86C58" w:rsidRPr="00394C3B" w:rsidTr="0085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D86C58" w:rsidRPr="00394C3B" w:rsidRDefault="00D86C58" w:rsidP="00D86C58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D86C58" w:rsidRPr="00394C3B" w:rsidRDefault="00D86C58" w:rsidP="0085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D86C58" w:rsidRPr="00394C3B" w:rsidRDefault="00D86C58" w:rsidP="00D86C5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D86C58" w:rsidRPr="00394C3B" w:rsidRDefault="00745F90" w:rsidP="00D86C58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D86C58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D86C58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D86C58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3" w:history="1">
        <w:r w:rsidR="00D86C58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D86C58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D86C58" w:rsidRPr="00394C3B" w:rsidRDefault="00D86C58" w:rsidP="00D86C58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D86C58" w:rsidRPr="00394C3B" w:rsidRDefault="00D86C58" w:rsidP="00D86C58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903DA4" w:rsidRPr="001E788E" w:rsidRDefault="00D86C58" w:rsidP="001E788E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  <w:r w:rsidR="001E788E">
        <w:rPr>
          <w:rFonts w:ascii="Arial" w:hAnsi="Arial" w:cs="Arial"/>
          <w:sz w:val="24"/>
          <w:szCs w:val="24"/>
          <w:lang w:val="es-PA"/>
        </w:rPr>
        <w:t>-</w:t>
      </w:r>
    </w:p>
    <w:sectPr w:rsidR="00903DA4" w:rsidRPr="001E788E" w:rsidSect="001E788E">
      <w:headerReference w:type="default" r:id="rId14"/>
      <w:pgSz w:w="12240" w:h="15840"/>
      <w:pgMar w:top="1417" w:right="1701" w:bottom="1417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90" w:rsidRDefault="00745F90" w:rsidP="00D86C58">
      <w:pPr>
        <w:spacing w:after="0" w:line="240" w:lineRule="auto"/>
      </w:pPr>
      <w:r>
        <w:separator/>
      </w:r>
    </w:p>
  </w:endnote>
  <w:endnote w:type="continuationSeparator" w:id="0">
    <w:p w:rsidR="00745F90" w:rsidRDefault="00745F90" w:rsidP="00D8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90" w:rsidRDefault="00745F90" w:rsidP="00D86C58">
      <w:pPr>
        <w:spacing w:after="0" w:line="240" w:lineRule="auto"/>
      </w:pPr>
      <w:r>
        <w:separator/>
      </w:r>
    </w:p>
  </w:footnote>
  <w:footnote w:type="continuationSeparator" w:id="0">
    <w:p w:rsidR="00745F90" w:rsidRDefault="00745F90" w:rsidP="00D8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B7" w:rsidRPr="00E842F0" w:rsidRDefault="00CA0D36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23DBA02E" wp14:editId="3B9CD449">
          <wp:simplePos x="0" y="0"/>
          <wp:positionH relativeFrom="column">
            <wp:posOffset>5673090</wp:posOffset>
          </wp:positionH>
          <wp:positionV relativeFrom="paragraph">
            <wp:posOffset>16510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3" name="Imagen 3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0A88CA9E" wp14:editId="3CD1B78F">
          <wp:simplePos x="0" y="0"/>
          <wp:positionH relativeFrom="column">
            <wp:posOffset>-652145</wp:posOffset>
          </wp:positionH>
          <wp:positionV relativeFrom="paragraph">
            <wp:posOffset>-32385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>
      <w:rPr>
        <w:rFonts w:ascii="Estrangelo Edessa" w:hAnsi="Estrangelo Edessa" w:cs="Estrangelo Edessa"/>
        <w:b/>
        <w:sz w:val="28"/>
        <w:szCs w:val="28"/>
      </w:rPr>
      <w:t>5</w:t>
    </w:r>
    <w:r w:rsidR="00D86C58">
      <w:rPr>
        <w:rFonts w:ascii="Estrangelo Edessa" w:hAnsi="Estrangelo Edessa" w:cs="Estrangelo Edessa"/>
        <w:b/>
        <w:sz w:val="28"/>
        <w:szCs w:val="28"/>
      </w:rPr>
      <w:t>7</w:t>
    </w:r>
    <w:r>
      <w:rPr>
        <w:rFonts w:ascii="Estrangelo Edessa" w:hAnsi="Estrangelo Edessa" w:cs="Estrangelo Edessa"/>
        <w:b/>
        <w:sz w:val="28"/>
        <w:szCs w:val="28"/>
      </w:rPr>
      <w:t>-</w:t>
    </w:r>
    <w:r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4533_"/>
      </v:shape>
    </w:pict>
  </w:numPicBullet>
  <w:numPicBullet w:numPicBulletId="1">
    <w:pict>
      <v:shape id="_x0000_i1029" type="#_x0000_t75" style="width:9.2pt;height:9.2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58"/>
    <w:rsid w:val="001E788E"/>
    <w:rsid w:val="00286236"/>
    <w:rsid w:val="002E760A"/>
    <w:rsid w:val="004E1ABE"/>
    <w:rsid w:val="006104C1"/>
    <w:rsid w:val="00640861"/>
    <w:rsid w:val="00740D88"/>
    <w:rsid w:val="00745F90"/>
    <w:rsid w:val="00903DA4"/>
    <w:rsid w:val="00CA0D36"/>
    <w:rsid w:val="00D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C58"/>
  </w:style>
  <w:style w:type="table" w:styleId="Cuadrculaclara-nfasis3">
    <w:name w:val="Light Grid Accent 3"/>
    <w:basedOn w:val="Tablanormal"/>
    <w:uiPriority w:val="62"/>
    <w:rsid w:val="00D86C58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D86C5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8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C58"/>
  </w:style>
  <w:style w:type="paragraph" w:styleId="Textodeglobo">
    <w:name w:val="Balloon Text"/>
    <w:basedOn w:val="Normal"/>
    <w:link w:val="TextodegloboCar"/>
    <w:uiPriority w:val="99"/>
    <w:semiHidden/>
    <w:unhideWhenUsed/>
    <w:rsid w:val="00D8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C58"/>
  </w:style>
  <w:style w:type="table" w:styleId="Cuadrculaclara-nfasis3">
    <w:name w:val="Light Grid Accent 3"/>
    <w:basedOn w:val="Tablanormal"/>
    <w:uiPriority w:val="62"/>
    <w:rsid w:val="00D86C58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D86C5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86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C58"/>
  </w:style>
  <w:style w:type="paragraph" w:styleId="Textodeglobo">
    <w:name w:val="Balloon Text"/>
    <w:basedOn w:val="Normal"/>
    <w:link w:val="TextodegloboCar"/>
    <w:uiPriority w:val="99"/>
    <w:semiHidden/>
    <w:unhideWhenUsed/>
    <w:rsid w:val="00D8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nedominguez@ifarhu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quintero@ifarhu.gob.p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p.gov.sg/content/scp/courses_offered_applicationprocedure/application_procedur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2015-05-15T17:25:00Z</dcterms:created>
  <dcterms:modified xsi:type="dcterms:W3CDTF">2015-05-15T17:25:00Z</dcterms:modified>
</cp:coreProperties>
</file>