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8906A1" w:rsidRDefault="008906A1" w:rsidP="008906A1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8906A1" w:rsidRDefault="008906A1" w:rsidP="008906A1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5D219D" w:rsidRDefault="005D219D" w:rsidP="00C94149">
      <w:pPr>
        <w:tabs>
          <w:tab w:val="left" w:pos="3165"/>
        </w:tabs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FE4BAC" w:rsidRPr="008906A1" w:rsidRDefault="00C94149" w:rsidP="00C94149">
      <w:pPr>
        <w:tabs>
          <w:tab w:val="left" w:pos="3165"/>
        </w:tabs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bookmarkStart w:id="0" w:name="_GoBack"/>
      <w:r>
        <w:rPr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2CDE1954" wp14:editId="5F7E637C">
            <wp:simplePos x="0" y="0"/>
            <wp:positionH relativeFrom="column">
              <wp:posOffset>1137920</wp:posOffset>
            </wp:positionH>
            <wp:positionV relativeFrom="paragraph">
              <wp:posOffset>921385</wp:posOffset>
            </wp:positionV>
            <wp:extent cx="3360420" cy="2802255"/>
            <wp:effectExtent l="361950" t="323850" r="487680" b="340995"/>
            <wp:wrapTopAndBottom/>
            <wp:docPr id="5" name="Imagen 5" descr="Resultado de imagen de END TO END COU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END TO END COURT TECHNOLOG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802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6A1" w:rsidRPr="008906A1">
        <w:rPr>
          <w:rFonts w:ascii="Times New Roman" w:hAnsi="Times New Roman" w:cs="Times New Roman"/>
          <w:sz w:val="44"/>
          <w:szCs w:val="44"/>
          <w:lang w:val="en-US"/>
        </w:rPr>
        <w:t>END – TO – END COURT TECHNOLOG</w:t>
      </w:r>
      <w:bookmarkEnd w:id="0"/>
      <w:r w:rsidR="008906A1" w:rsidRPr="008906A1">
        <w:rPr>
          <w:rFonts w:ascii="Times New Roman" w:hAnsi="Times New Roman" w:cs="Times New Roman"/>
          <w:sz w:val="44"/>
          <w:szCs w:val="44"/>
          <w:lang w:val="en-US"/>
        </w:rPr>
        <w:t>Y</w:t>
      </w:r>
    </w:p>
    <w:p w:rsidR="008906A1" w:rsidRDefault="008906A1" w:rsidP="008906A1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5D219D" w:rsidRPr="00394C3B" w:rsidRDefault="005D219D" w:rsidP="008906A1">
      <w:pPr>
        <w:tabs>
          <w:tab w:val="left" w:pos="31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8906A1" w:rsidRPr="00394C3B" w:rsidRDefault="008906A1" w:rsidP="008906A1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8906A1" w:rsidRPr="00394C3B" w:rsidRDefault="008906A1" w:rsidP="008906A1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C94149">
        <w:rPr>
          <w:rFonts w:ascii="Arial" w:hAnsi="Arial" w:cs="Arial"/>
          <w:b/>
          <w:sz w:val="24"/>
          <w:szCs w:val="24"/>
          <w:lang w:val="en-US"/>
        </w:rPr>
        <w:t>6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94149">
        <w:rPr>
          <w:rFonts w:ascii="Arial" w:hAnsi="Arial" w:cs="Arial"/>
          <w:b/>
          <w:sz w:val="24"/>
          <w:szCs w:val="24"/>
          <w:lang w:val="en-US"/>
        </w:rPr>
        <w:t xml:space="preserve">10 </w:t>
      </w:r>
      <w:r>
        <w:rPr>
          <w:rFonts w:ascii="Arial" w:hAnsi="Arial" w:cs="Arial"/>
          <w:b/>
          <w:sz w:val="24"/>
          <w:szCs w:val="24"/>
          <w:lang w:val="en-US"/>
        </w:rPr>
        <w:t xml:space="preserve"> of </w:t>
      </w:r>
      <w:r w:rsidR="00C94149">
        <w:rPr>
          <w:rFonts w:ascii="Arial" w:hAnsi="Arial" w:cs="Arial"/>
          <w:b/>
          <w:sz w:val="24"/>
          <w:szCs w:val="24"/>
          <w:lang w:val="en-US"/>
        </w:rPr>
        <w:t xml:space="preserve">July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2015</w:t>
      </w:r>
    </w:p>
    <w:p w:rsidR="008906A1" w:rsidRPr="00394C3B" w:rsidRDefault="008906A1" w:rsidP="008906A1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C94149">
        <w:rPr>
          <w:rFonts w:ascii="Arial" w:hAnsi="Arial" w:cs="Arial"/>
          <w:b/>
          <w:sz w:val="24"/>
          <w:szCs w:val="24"/>
          <w:lang w:val="en-US"/>
        </w:rPr>
        <w:t>May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94149">
        <w:rPr>
          <w:rFonts w:ascii="Arial" w:hAnsi="Arial" w:cs="Arial"/>
          <w:b/>
          <w:sz w:val="24"/>
          <w:szCs w:val="24"/>
          <w:lang w:val="en-US"/>
        </w:rPr>
        <w:t>18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8906A1" w:rsidRPr="00394C3B" w:rsidRDefault="008906A1" w:rsidP="008906A1">
      <w:pPr>
        <w:rPr>
          <w:rFonts w:ascii="Arial" w:hAnsi="Arial" w:cs="Arial"/>
          <w:b/>
          <w:sz w:val="24"/>
          <w:szCs w:val="24"/>
          <w:lang w:val="en-US"/>
        </w:rPr>
      </w:pPr>
    </w:p>
    <w:p w:rsidR="008906A1" w:rsidRDefault="008906A1" w:rsidP="008906A1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8906A1" w:rsidRPr="00394C3B" w:rsidRDefault="008906A1" w:rsidP="008906A1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8906A1" w:rsidRDefault="008906A1" w:rsidP="008906A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</w:t>
      </w:r>
      <w:r w:rsidR="00C94149">
        <w:rPr>
          <w:rFonts w:ascii="Arial" w:hAnsi="Arial" w:cs="Arial"/>
          <w:sz w:val="24"/>
          <w:szCs w:val="24"/>
          <w:lang w:val="en-US"/>
        </w:rPr>
        <w:t xml:space="preserve">participants with an understanding of the various information Technology (IT) </w:t>
      </w:r>
      <w:r w:rsidR="005D219D">
        <w:rPr>
          <w:rFonts w:ascii="Arial" w:hAnsi="Arial" w:cs="Arial"/>
          <w:sz w:val="24"/>
          <w:szCs w:val="24"/>
          <w:lang w:val="en-US"/>
        </w:rPr>
        <w:t xml:space="preserve">systems used in the </w:t>
      </w:r>
      <w:r w:rsidR="00C94149">
        <w:rPr>
          <w:rFonts w:ascii="Arial" w:hAnsi="Arial" w:cs="Arial"/>
          <w:sz w:val="24"/>
          <w:szCs w:val="24"/>
          <w:lang w:val="en-US"/>
        </w:rPr>
        <w:t xml:space="preserve">Singapore Judiciary.  At the end of the course, participants </w:t>
      </w:r>
      <w:proofErr w:type="spellStart"/>
      <w:r w:rsidR="00C94149">
        <w:rPr>
          <w:rFonts w:ascii="Arial" w:hAnsi="Arial" w:cs="Arial"/>
          <w:sz w:val="24"/>
          <w:szCs w:val="24"/>
          <w:lang w:val="en-US"/>
        </w:rPr>
        <w:t>wil</w:t>
      </w:r>
      <w:proofErr w:type="spellEnd"/>
      <w:r w:rsidR="00C94149">
        <w:rPr>
          <w:rFonts w:ascii="Arial" w:hAnsi="Arial" w:cs="Arial"/>
          <w:sz w:val="24"/>
          <w:szCs w:val="24"/>
          <w:lang w:val="en-US"/>
        </w:rPr>
        <w:t xml:space="preserve"> be able to recommend tried and tested court technology solutions to the management for use in their jurisdiction.</w:t>
      </w:r>
    </w:p>
    <w:p w:rsidR="005D219D" w:rsidRPr="00394C3B" w:rsidRDefault="005D219D" w:rsidP="008906A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906A1" w:rsidRPr="00394C3B" w:rsidRDefault="008906A1" w:rsidP="008906A1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8906A1" w:rsidRPr="00394C3B" w:rsidRDefault="008906A1" w:rsidP="008906A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8906A1" w:rsidRDefault="005D219D" w:rsidP="008906A1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Introduction to about technologies e g e-Litigation system and regulatory Offences Management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System  (</w:t>
      </w:r>
      <w:proofErr w:type="gramEnd"/>
      <w:r>
        <w:rPr>
          <w:rFonts w:ascii="Arial" w:hAnsi="Arial" w:cs="Arial"/>
          <w:sz w:val="24"/>
          <w:szCs w:val="24"/>
          <w:lang w:val="en-US"/>
        </w:rPr>
        <w:t>ROMS).</w:t>
      </w:r>
    </w:p>
    <w:p w:rsidR="008906A1" w:rsidRDefault="005D219D" w:rsidP="008906A1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Site visits to the Singapore Judiciary.</w:t>
      </w:r>
    </w:p>
    <w:p w:rsidR="005D219D" w:rsidRPr="00394C3B" w:rsidRDefault="005D219D" w:rsidP="005D219D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906A1" w:rsidRDefault="008906A1" w:rsidP="008906A1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8906A1" w:rsidRPr="00394C3B" w:rsidRDefault="008906A1" w:rsidP="008906A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8906A1" w:rsidRDefault="008906A1" w:rsidP="008906A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D219D" w:rsidRPr="005D219D" w:rsidRDefault="005D219D" w:rsidP="005D219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Judges and judicial officers involved in developing and managing court technologies to better manage the registration, filing, retrieval and data mining of court cases.</w:t>
      </w:r>
    </w:p>
    <w:p w:rsidR="008906A1" w:rsidRPr="00394C3B" w:rsidRDefault="008906A1" w:rsidP="005D219D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8906A1" w:rsidRPr="00394C3B" w:rsidTr="00235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2350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8906A1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906A1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906A1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8906A1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9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8906A1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8906A1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06A1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06A1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06A1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06A1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8906A1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8906A1" w:rsidRPr="00394C3B" w:rsidRDefault="008906A1" w:rsidP="008906A1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8906A1" w:rsidRPr="00394C3B" w:rsidRDefault="008906A1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8906A1" w:rsidRPr="00394C3B" w:rsidRDefault="008906A1" w:rsidP="008906A1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8906A1" w:rsidRPr="00394C3B" w:rsidRDefault="008906A1" w:rsidP="008906A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8906A1" w:rsidRPr="00394C3B" w:rsidRDefault="004E6D7B" w:rsidP="008906A1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0" w:history="1">
        <w:r w:rsidR="008906A1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8906A1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8906A1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1" w:history="1">
        <w:r w:rsidR="008906A1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8906A1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8906A1" w:rsidRPr="00394C3B" w:rsidRDefault="008906A1" w:rsidP="008906A1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8906A1" w:rsidRPr="00394C3B" w:rsidRDefault="008906A1" w:rsidP="008906A1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8906A1" w:rsidRPr="00394C3B" w:rsidRDefault="008906A1" w:rsidP="008906A1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1379B1" w:rsidRPr="008906A1" w:rsidRDefault="001379B1">
      <w:pPr>
        <w:rPr>
          <w:lang w:val="es-PA"/>
        </w:rPr>
      </w:pPr>
    </w:p>
    <w:sectPr w:rsidR="001379B1" w:rsidRPr="008906A1" w:rsidSect="005D219D">
      <w:headerReference w:type="default" r:id="rId12"/>
      <w:pgSz w:w="12240" w:h="15840"/>
      <w:pgMar w:top="1417" w:right="1701" w:bottom="1417" w:left="1701" w:header="708" w:footer="708" w:gutter="0"/>
      <w:pgBorders w:offsetFrom="page">
        <w:top w:val="quadrants" w:sz="10" w:space="24" w:color="auto"/>
        <w:left w:val="quadrants" w:sz="10" w:space="24" w:color="auto"/>
        <w:bottom w:val="quadrants" w:sz="10" w:space="24" w:color="auto"/>
        <w:right w:val="quadrant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7B" w:rsidRDefault="004E6D7B" w:rsidP="008906A1">
      <w:pPr>
        <w:spacing w:after="0" w:line="240" w:lineRule="auto"/>
      </w:pPr>
      <w:r>
        <w:separator/>
      </w:r>
    </w:p>
  </w:endnote>
  <w:endnote w:type="continuationSeparator" w:id="0">
    <w:p w:rsidR="004E6D7B" w:rsidRDefault="004E6D7B" w:rsidP="0089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7B" w:rsidRDefault="004E6D7B" w:rsidP="008906A1">
      <w:pPr>
        <w:spacing w:after="0" w:line="240" w:lineRule="auto"/>
      </w:pPr>
      <w:r>
        <w:separator/>
      </w:r>
    </w:p>
  </w:footnote>
  <w:footnote w:type="continuationSeparator" w:id="0">
    <w:p w:rsidR="004E6D7B" w:rsidRDefault="004E6D7B" w:rsidP="0089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B7" w:rsidRPr="00E842F0" w:rsidRDefault="005D219D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1F772E56" wp14:editId="3A3969A4">
          <wp:simplePos x="0" y="0"/>
          <wp:positionH relativeFrom="column">
            <wp:posOffset>-617220</wp:posOffset>
          </wp:positionH>
          <wp:positionV relativeFrom="paragraph">
            <wp:posOffset>14605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1DFA1F2B" wp14:editId="1F8A80AD">
          <wp:simplePos x="0" y="0"/>
          <wp:positionH relativeFrom="column">
            <wp:posOffset>5673090</wp:posOffset>
          </wp:positionH>
          <wp:positionV relativeFrom="paragraph">
            <wp:posOffset>63500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3" name="Imagen 3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B11C4"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="001B11C4"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 w:rsidR="008906A1">
      <w:rPr>
        <w:rFonts w:ascii="Estrangelo Edessa" w:hAnsi="Estrangelo Edessa" w:cs="Estrangelo Edessa"/>
        <w:b/>
        <w:sz w:val="28"/>
        <w:szCs w:val="28"/>
      </w:rPr>
      <w:t>63</w:t>
    </w:r>
    <w:r w:rsidR="001B11C4">
      <w:rPr>
        <w:rFonts w:ascii="Estrangelo Edessa" w:hAnsi="Estrangelo Edessa" w:cs="Estrangelo Edessa"/>
        <w:b/>
        <w:sz w:val="28"/>
        <w:szCs w:val="28"/>
      </w:rPr>
      <w:t>-</w:t>
    </w:r>
    <w:r w:rsidR="001B11C4"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.35pt;height:9.35pt" o:bullet="t">
        <v:imagedata r:id="rId1" o:title="BD14533_"/>
      </v:shape>
    </w:pict>
  </w:numPicBullet>
  <w:numPicBullet w:numPicBulletId="1">
    <w:pict>
      <v:shape id="_x0000_i1051" type="#_x0000_t75" style="width:9.35pt;height:9.35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A1"/>
    <w:rsid w:val="001379B1"/>
    <w:rsid w:val="001B11C4"/>
    <w:rsid w:val="004E6D7B"/>
    <w:rsid w:val="005D219D"/>
    <w:rsid w:val="008906A1"/>
    <w:rsid w:val="00A4583D"/>
    <w:rsid w:val="00C94149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6A1"/>
  </w:style>
  <w:style w:type="table" w:styleId="Cuadrculaclara-nfasis3">
    <w:name w:val="Light Grid Accent 3"/>
    <w:basedOn w:val="Tablanormal"/>
    <w:uiPriority w:val="62"/>
    <w:rsid w:val="008906A1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8906A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9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6A1"/>
  </w:style>
  <w:style w:type="paragraph" w:styleId="Textodeglobo">
    <w:name w:val="Balloon Text"/>
    <w:basedOn w:val="Normal"/>
    <w:link w:val="TextodegloboCar"/>
    <w:uiPriority w:val="99"/>
    <w:semiHidden/>
    <w:unhideWhenUsed/>
    <w:rsid w:val="00FE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6A1"/>
  </w:style>
  <w:style w:type="table" w:styleId="Cuadrculaclara-nfasis3">
    <w:name w:val="Light Grid Accent 3"/>
    <w:basedOn w:val="Tablanormal"/>
    <w:uiPriority w:val="62"/>
    <w:rsid w:val="008906A1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8906A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9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6A1"/>
  </w:style>
  <w:style w:type="paragraph" w:styleId="Textodeglobo">
    <w:name w:val="Balloon Text"/>
    <w:basedOn w:val="Normal"/>
    <w:link w:val="TextodegloboCar"/>
    <w:uiPriority w:val="99"/>
    <w:semiHidden/>
    <w:unhideWhenUsed/>
    <w:rsid w:val="00FE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dominguez@ifarhu.gob.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quintero@ifarhu.gob.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p.gov.sg/content/scp/courses_offered_applicationprocedure/application_procedur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2015-05-06T18:22:00Z</dcterms:created>
  <dcterms:modified xsi:type="dcterms:W3CDTF">2015-05-06T18:22:00Z</dcterms:modified>
</cp:coreProperties>
</file>