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861131" w:rsidRDefault="00861131">
      <w:bookmarkStart w:id="0" w:name="_GoBack"/>
      <w:bookmarkEnd w:id="0"/>
    </w:p>
    <w:p w:rsidR="00934C62" w:rsidRDefault="000707F8" w:rsidP="00934C62">
      <w:pPr>
        <w:tabs>
          <w:tab w:val="left" w:pos="3165"/>
        </w:tabs>
        <w:jc w:val="center"/>
        <w:rPr>
          <w:rFonts w:ascii="Arial" w:hAnsi="Arial" w:cs="Arial"/>
          <w:sz w:val="40"/>
          <w:szCs w:val="40"/>
          <w:lang w:val="en-US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2336" behindDoc="0" locked="0" layoutInCell="1" allowOverlap="1" wp14:anchorId="4E8EAA30" wp14:editId="5223D166">
            <wp:simplePos x="0" y="0"/>
            <wp:positionH relativeFrom="column">
              <wp:posOffset>2848610</wp:posOffset>
            </wp:positionH>
            <wp:positionV relativeFrom="paragraph">
              <wp:posOffset>1506220</wp:posOffset>
            </wp:positionV>
            <wp:extent cx="2873375" cy="2327275"/>
            <wp:effectExtent l="342900" t="285750" r="403225" b="320675"/>
            <wp:wrapTopAndBottom/>
            <wp:docPr id="6" name="Imagen 6" descr="https://encrypted-tbn0.gstatic.com/images?q=tbn:ANd9GcS2YcXHWkX51R00Omf04KcUUmLk06rcBIOd8nAsMopKRtAoW86l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S2YcXHWkX51R00Omf04KcUUmLk06rcBIOd8nAsMopKRtAoW86lw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327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1312" behindDoc="0" locked="0" layoutInCell="1" allowOverlap="1" wp14:anchorId="4EC7A5CD" wp14:editId="5C309345">
            <wp:simplePos x="0" y="0"/>
            <wp:positionH relativeFrom="column">
              <wp:posOffset>-320675</wp:posOffset>
            </wp:positionH>
            <wp:positionV relativeFrom="paragraph">
              <wp:posOffset>1140460</wp:posOffset>
            </wp:positionV>
            <wp:extent cx="3027680" cy="2327275"/>
            <wp:effectExtent l="342900" t="304800" r="420370" b="339725"/>
            <wp:wrapTopAndBottom/>
            <wp:docPr id="5" name="Imagen 5" descr="https://encrypted-tbn3.gstatic.com/images?q=tbn:ANd9GcTrZWFjtatHD8oaDItKFlrpwarTtHlEhafiunK9KTaUkpvVx-f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WFjtatHD8oaDItKFlrpwarTtHlEhafiunK9KTaUkpvVx-f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327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16D" w:rsidRPr="00F0416D">
        <w:rPr>
          <w:rFonts w:ascii="Arial" w:hAnsi="Arial" w:cs="Arial"/>
          <w:sz w:val="40"/>
          <w:szCs w:val="40"/>
          <w:lang w:val="en-US"/>
        </w:rPr>
        <w:t>PORT MANAGEMENT AND OPERATIONS</w:t>
      </w:r>
    </w:p>
    <w:p w:rsidR="00F0416D" w:rsidRDefault="00F0416D" w:rsidP="00F0416D">
      <w:pPr>
        <w:tabs>
          <w:tab w:val="left" w:pos="3165"/>
        </w:tabs>
        <w:rPr>
          <w:rFonts w:ascii="Arial" w:hAnsi="Arial" w:cs="Arial"/>
          <w:sz w:val="40"/>
          <w:szCs w:val="40"/>
          <w:lang w:val="en-US"/>
        </w:rPr>
      </w:pPr>
    </w:p>
    <w:p w:rsidR="000707F8" w:rsidRPr="00F0416D" w:rsidRDefault="000707F8" w:rsidP="00F0416D">
      <w:pPr>
        <w:tabs>
          <w:tab w:val="left" w:pos="3165"/>
        </w:tabs>
        <w:rPr>
          <w:rFonts w:ascii="Arial" w:hAnsi="Arial" w:cs="Arial"/>
          <w:sz w:val="40"/>
          <w:szCs w:val="40"/>
          <w:lang w:val="en-US"/>
        </w:rPr>
      </w:pPr>
    </w:p>
    <w:p w:rsidR="00934C62" w:rsidRPr="00394C3B" w:rsidRDefault="00934C62" w:rsidP="00934C62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>Country: Singapur</w:t>
      </w:r>
    </w:p>
    <w:p w:rsidR="00934C62" w:rsidRPr="00394C3B" w:rsidRDefault="00934C62" w:rsidP="00934C62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F0416D">
        <w:rPr>
          <w:rFonts w:ascii="Arial" w:hAnsi="Arial" w:cs="Arial"/>
          <w:b/>
          <w:sz w:val="24"/>
          <w:szCs w:val="24"/>
          <w:lang w:val="en-US"/>
        </w:rPr>
        <w:t xml:space="preserve">7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416D">
        <w:rPr>
          <w:rFonts w:ascii="Arial" w:hAnsi="Arial" w:cs="Arial"/>
          <w:b/>
          <w:sz w:val="24"/>
          <w:szCs w:val="24"/>
          <w:lang w:val="en-US"/>
        </w:rPr>
        <w:t xml:space="preserve">10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of</w:t>
      </w:r>
      <w:r w:rsidR="00F0416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416D">
        <w:rPr>
          <w:rFonts w:ascii="Arial" w:hAnsi="Arial" w:cs="Arial"/>
          <w:b/>
          <w:sz w:val="24"/>
          <w:szCs w:val="24"/>
          <w:lang w:val="en-US"/>
        </w:rPr>
        <w:t xml:space="preserve">March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416D">
        <w:rPr>
          <w:rFonts w:ascii="Arial" w:hAnsi="Arial" w:cs="Arial"/>
          <w:b/>
          <w:sz w:val="24"/>
          <w:szCs w:val="24"/>
          <w:lang w:val="en-US"/>
        </w:rPr>
        <w:t xml:space="preserve"> 2016</w:t>
      </w:r>
    </w:p>
    <w:p w:rsidR="00934C62" w:rsidRPr="00394C3B" w:rsidRDefault="00934C62" w:rsidP="00934C62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Application: </w:t>
      </w:r>
      <w:r w:rsidR="00F0416D">
        <w:rPr>
          <w:rFonts w:ascii="Arial" w:hAnsi="Arial" w:cs="Arial"/>
          <w:b/>
          <w:sz w:val="24"/>
          <w:szCs w:val="24"/>
          <w:lang w:val="en-US"/>
        </w:rPr>
        <w:t>January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0416D">
        <w:rPr>
          <w:rFonts w:ascii="Arial" w:hAnsi="Arial" w:cs="Arial"/>
          <w:b/>
          <w:sz w:val="24"/>
          <w:szCs w:val="24"/>
          <w:lang w:val="en-US"/>
        </w:rPr>
        <w:t xml:space="preserve">19,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</w:t>
      </w:r>
      <w:r w:rsidR="00F0416D">
        <w:rPr>
          <w:rFonts w:ascii="Arial" w:hAnsi="Arial" w:cs="Arial"/>
          <w:b/>
          <w:sz w:val="24"/>
          <w:szCs w:val="24"/>
          <w:lang w:val="en-US"/>
        </w:rPr>
        <w:t>6</w:t>
      </w:r>
    </w:p>
    <w:p w:rsidR="000707F8" w:rsidRDefault="000707F8" w:rsidP="00934C62">
      <w:pPr>
        <w:rPr>
          <w:rFonts w:ascii="Arial" w:hAnsi="Arial" w:cs="Arial"/>
          <w:b/>
          <w:sz w:val="24"/>
          <w:szCs w:val="24"/>
          <w:lang w:val="en-US"/>
        </w:rPr>
      </w:pPr>
    </w:p>
    <w:p w:rsidR="00934C62" w:rsidRPr="00394C3B" w:rsidRDefault="00934C62" w:rsidP="00934C62">
      <w:pPr>
        <w:rPr>
          <w:rFonts w:ascii="Arial" w:hAnsi="Arial" w:cs="Arial"/>
          <w:b/>
          <w:sz w:val="24"/>
          <w:szCs w:val="24"/>
          <w:lang w:val="en-US"/>
        </w:rPr>
      </w:pPr>
    </w:p>
    <w:p w:rsidR="00934C62" w:rsidRDefault="00934C62" w:rsidP="00934C62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Course Objective.</w:t>
      </w:r>
    </w:p>
    <w:p w:rsidR="00934C62" w:rsidRPr="00394C3B" w:rsidRDefault="00934C62" w:rsidP="00934C62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934C62" w:rsidRPr="00394C3B" w:rsidRDefault="00934C62" w:rsidP="00934C6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provides participants with an </w:t>
      </w:r>
      <w:proofErr w:type="gramStart"/>
      <w:r w:rsidR="00F0416D">
        <w:rPr>
          <w:rFonts w:ascii="Arial" w:hAnsi="Arial" w:cs="Arial"/>
          <w:sz w:val="24"/>
          <w:szCs w:val="24"/>
          <w:lang w:val="en-US"/>
        </w:rPr>
        <w:t xml:space="preserve">overview </w:t>
      </w:r>
      <w:r>
        <w:rPr>
          <w:rFonts w:ascii="Arial" w:hAnsi="Arial" w:cs="Arial"/>
          <w:sz w:val="24"/>
          <w:szCs w:val="24"/>
          <w:lang w:val="en-US"/>
        </w:rPr>
        <w:t xml:space="preserve"> of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0416D">
        <w:rPr>
          <w:rFonts w:ascii="Arial" w:hAnsi="Arial" w:cs="Arial"/>
          <w:sz w:val="24"/>
          <w:szCs w:val="24"/>
          <w:lang w:val="en-US"/>
        </w:rPr>
        <w:t xml:space="preserve">Singapore experience in port planning and terminal operations.  It will address practical issues on port operational </w:t>
      </w:r>
      <w:r w:rsidR="000707F8">
        <w:rPr>
          <w:rFonts w:ascii="Arial" w:hAnsi="Arial" w:cs="Arial"/>
          <w:sz w:val="24"/>
          <w:szCs w:val="24"/>
          <w:lang w:val="en-US"/>
        </w:rPr>
        <w:t>readiness</w:t>
      </w:r>
      <w:r w:rsidR="00F0416D">
        <w:rPr>
          <w:rFonts w:ascii="Arial" w:hAnsi="Arial" w:cs="Arial"/>
          <w:sz w:val="24"/>
          <w:szCs w:val="24"/>
          <w:lang w:val="en-US"/>
        </w:rPr>
        <w:t xml:space="preserve"> to ensure the highest service levels for port users</w:t>
      </w:r>
      <w:r w:rsidR="000707F8">
        <w:rPr>
          <w:rFonts w:ascii="Arial" w:hAnsi="Arial" w:cs="Arial"/>
          <w:sz w:val="24"/>
          <w:szCs w:val="24"/>
          <w:lang w:val="en-US"/>
        </w:rPr>
        <w:t>.</w:t>
      </w:r>
    </w:p>
    <w:p w:rsidR="00934C62" w:rsidRDefault="00934C62" w:rsidP="00934C6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34C62" w:rsidRDefault="00934C62" w:rsidP="00934C6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707F8" w:rsidRDefault="000707F8" w:rsidP="00934C6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707F8" w:rsidRPr="00394C3B" w:rsidRDefault="000707F8" w:rsidP="00934C62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34C62" w:rsidRPr="00394C3B" w:rsidRDefault="00934C62" w:rsidP="00934C62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Synopsis and Methodology.</w:t>
      </w:r>
    </w:p>
    <w:p w:rsidR="00934C62" w:rsidRPr="00394C3B" w:rsidRDefault="00934C62" w:rsidP="00934C6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934C62" w:rsidRPr="00394C3B" w:rsidRDefault="00934C62" w:rsidP="00934C6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Different mechanisms in the dispute resolution spectrum</w:t>
      </w:r>
    </w:p>
    <w:p w:rsidR="00934C62" w:rsidRDefault="00934C62" w:rsidP="00934C6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fundamentals of interest-based dispute resolution</w:t>
      </w:r>
    </w:p>
    <w:p w:rsidR="00934C62" w:rsidRDefault="00934C62" w:rsidP="00934C6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Concepts, strangles and skills for effective management of disputes through mediation</w:t>
      </w:r>
    </w:p>
    <w:p w:rsidR="00934C62" w:rsidRDefault="00934C62" w:rsidP="00934C6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Suitability checklist for dispute resolution processes</w:t>
      </w:r>
    </w:p>
    <w:p w:rsidR="00934C62" w:rsidRPr="00394C3B" w:rsidRDefault="00934C62" w:rsidP="00934C62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Designing a dispute resolution system.</w:t>
      </w:r>
    </w:p>
    <w:p w:rsidR="00934C62" w:rsidRPr="00DF0B5C" w:rsidRDefault="00934C62" w:rsidP="00934C62">
      <w:pPr>
        <w:ind w:left="360"/>
        <w:jc w:val="both"/>
        <w:rPr>
          <w:rFonts w:ascii="Arial" w:hAnsi="Arial" w:cs="Arial"/>
          <w:sz w:val="16"/>
          <w:szCs w:val="16"/>
          <w:lang w:val="en-US"/>
        </w:rPr>
      </w:pPr>
    </w:p>
    <w:p w:rsidR="00934C62" w:rsidRPr="00394C3B" w:rsidRDefault="00934C62" w:rsidP="00934C62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934C62" w:rsidRPr="00DF0B5C" w:rsidRDefault="00934C62" w:rsidP="00934C62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34C62" w:rsidRPr="00DF0B5C" w:rsidRDefault="00934C62" w:rsidP="00934C62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Senior officials (Directors and above) from relevant agencies involved in strategic planning policy making and/or dispute management</w:t>
      </w:r>
    </w:p>
    <w:p w:rsidR="00934C62" w:rsidRDefault="00934C62" w:rsidP="00934C62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</w:t>
      </w:r>
    </w:p>
    <w:p w:rsidR="00934C62" w:rsidRPr="00394C3B" w:rsidRDefault="00934C62" w:rsidP="00934C62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>REQUIRED DOCUMENTS</w:t>
      </w:r>
    </w:p>
    <w:tbl>
      <w:tblPr>
        <w:tblStyle w:val="Listamedia1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934C62" w:rsidRPr="00394C3B" w:rsidTr="00070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7B7A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934C62" w:rsidRPr="00394C3B" w:rsidTr="0007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934C62" w:rsidRPr="00394C3B" w:rsidTr="000707F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934C62" w:rsidRPr="00394C3B" w:rsidTr="0007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934C62" w:rsidRPr="00394C3B" w:rsidTr="000707F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1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934C62" w:rsidRPr="00394C3B" w:rsidTr="0007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934C62" w:rsidRPr="00394C3B" w:rsidTr="000707F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934C62" w:rsidRPr="00394C3B" w:rsidTr="0007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934C62" w:rsidRPr="00394C3B" w:rsidTr="000707F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934C62" w:rsidRPr="00394C3B" w:rsidTr="0007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934C62" w:rsidRPr="00394C3B" w:rsidTr="000707F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934C62" w:rsidRPr="00394C3B" w:rsidTr="00070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934C62" w:rsidRPr="00394C3B" w:rsidRDefault="00934C62" w:rsidP="00934C62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934C62" w:rsidRPr="00394C3B" w:rsidRDefault="00934C62" w:rsidP="007B7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934C62" w:rsidRPr="00394C3B" w:rsidRDefault="00934C62" w:rsidP="00934C6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934C62" w:rsidRPr="00394C3B" w:rsidRDefault="00934C62" w:rsidP="00934C6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934C62" w:rsidRPr="00394C3B" w:rsidRDefault="00491C23" w:rsidP="00934C62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934C62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934C62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934C62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3" w:history="1">
        <w:r w:rsidR="00934C62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934C62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934C62" w:rsidRPr="00394C3B" w:rsidRDefault="00934C62" w:rsidP="00934C62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934C62" w:rsidRPr="00394C3B" w:rsidRDefault="00934C62" w:rsidP="00934C62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934C62" w:rsidRPr="000707F8" w:rsidRDefault="00934C62" w:rsidP="000707F8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sectPr w:rsidR="00934C62" w:rsidRPr="000707F8" w:rsidSect="000707F8">
      <w:headerReference w:type="default" r:id="rId14"/>
      <w:pgSz w:w="11906" w:h="16838"/>
      <w:pgMar w:top="1417" w:right="1701" w:bottom="1417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23" w:rsidRDefault="00491C23" w:rsidP="00F0416D">
      <w:pPr>
        <w:spacing w:after="0" w:line="240" w:lineRule="auto"/>
      </w:pPr>
      <w:r>
        <w:separator/>
      </w:r>
    </w:p>
  </w:endnote>
  <w:endnote w:type="continuationSeparator" w:id="0">
    <w:p w:rsidR="00491C23" w:rsidRDefault="00491C23" w:rsidP="00F0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23" w:rsidRDefault="00491C23" w:rsidP="00F0416D">
      <w:pPr>
        <w:spacing w:after="0" w:line="240" w:lineRule="auto"/>
      </w:pPr>
      <w:r>
        <w:separator/>
      </w:r>
    </w:p>
  </w:footnote>
  <w:footnote w:type="continuationSeparator" w:id="0">
    <w:p w:rsidR="00491C23" w:rsidRDefault="00491C23" w:rsidP="00F0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6D" w:rsidRDefault="000707F8" w:rsidP="00F0416D">
    <w:pPr>
      <w:pStyle w:val="Encabezado"/>
      <w:tabs>
        <w:tab w:val="clear" w:pos="4252"/>
        <w:tab w:val="left" w:pos="3890"/>
      </w:tabs>
    </w:pPr>
    <w:r>
      <w:rPr>
        <w:noProof/>
        <w:lang w:val="es-PA" w:eastAsia="es-PA"/>
      </w:rPr>
      <w:drawing>
        <wp:anchor distT="0" distB="0" distL="114300" distR="114300" simplePos="0" relativeHeight="251661312" behindDoc="1" locked="0" layoutInCell="1" allowOverlap="1" wp14:anchorId="708DF435" wp14:editId="10DE8294">
          <wp:simplePos x="0" y="0"/>
          <wp:positionH relativeFrom="column">
            <wp:posOffset>5517515</wp:posOffset>
          </wp:positionH>
          <wp:positionV relativeFrom="paragraph">
            <wp:posOffset>-11430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4" name="Imagen 4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7E885D9" wp14:editId="1E63AA6E">
          <wp:simplePos x="0" y="0"/>
          <wp:positionH relativeFrom="column">
            <wp:posOffset>-681355</wp:posOffset>
          </wp:positionH>
          <wp:positionV relativeFrom="paragraph">
            <wp:posOffset>-59055</wp:posOffset>
          </wp:positionV>
          <wp:extent cx="1466850" cy="571500"/>
          <wp:effectExtent l="0" t="0" r="0" b="0"/>
          <wp:wrapSquare wrapText="bothSides"/>
          <wp:docPr id="3" name="Imagen 3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416D">
      <w:tab/>
      <w:t>Curse 70 - 2015</w:t>
    </w:r>
    <w:r w:rsidR="00F041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.35pt;height:9.35pt" o:bullet="t">
        <v:imagedata r:id="rId1" o:title="BD14533_"/>
      </v:shape>
    </w:pict>
  </w:numPicBullet>
  <w:numPicBullet w:numPicBulletId="1">
    <w:pict>
      <v:shape id="_x0000_i1070" type="#_x0000_t75" style="width:9.35pt;height:9.35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62"/>
    <w:rsid w:val="000707F8"/>
    <w:rsid w:val="001B13CC"/>
    <w:rsid w:val="00491C23"/>
    <w:rsid w:val="007451A8"/>
    <w:rsid w:val="00861131"/>
    <w:rsid w:val="00934C62"/>
    <w:rsid w:val="00F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934C62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0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16D"/>
  </w:style>
  <w:style w:type="paragraph" w:styleId="Piedepgina">
    <w:name w:val="footer"/>
    <w:basedOn w:val="Normal"/>
    <w:link w:val="PiedepginaCar"/>
    <w:uiPriority w:val="99"/>
    <w:unhideWhenUsed/>
    <w:rsid w:val="00F0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16D"/>
  </w:style>
  <w:style w:type="paragraph" w:styleId="Textodeglobo">
    <w:name w:val="Balloon Text"/>
    <w:basedOn w:val="Normal"/>
    <w:link w:val="TextodegloboCar"/>
    <w:uiPriority w:val="99"/>
    <w:semiHidden/>
    <w:unhideWhenUsed/>
    <w:rsid w:val="00F0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16D"/>
    <w:rPr>
      <w:rFonts w:ascii="Tahoma" w:hAnsi="Tahoma" w:cs="Tahoma"/>
      <w:sz w:val="16"/>
      <w:szCs w:val="16"/>
    </w:rPr>
  </w:style>
  <w:style w:type="table" w:styleId="Listamedia1">
    <w:name w:val="Medium List 1"/>
    <w:basedOn w:val="Tablanormal"/>
    <w:uiPriority w:val="65"/>
    <w:rsid w:val="00070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934C62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0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16D"/>
  </w:style>
  <w:style w:type="paragraph" w:styleId="Piedepgina">
    <w:name w:val="footer"/>
    <w:basedOn w:val="Normal"/>
    <w:link w:val="PiedepginaCar"/>
    <w:uiPriority w:val="99"/>
    <w:unhideWhenUsed/>
    <w:rsid w:val="00F0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16D"/>
  </w:style>
  <w:style w:type="paragraph" w:styleId="Textodeglobo">
    <w:name w:val="Balloon Text"/>
    <w:basedOn w:val="Normal"/>
    <w:link w:val="TextodegloboCar"/>
    <w:uiPriority w:val="99"/>
    <w:semiHidden/>
    <w:unhideWhenUsed/>
    <w:rsid w:val="00F0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16D"/>
    <w:rPr>
      <w:rFonts w:ascii="Tahoma" w:hAnsi="Tahoma" w:cs="Tahoma"/>
      <w:sz w:val="16"/>
      <w:szCs w:val="16"/>
    </w:rPr>
  </w:style>
  <w:style w:type="table" w:styleId="Listamedia1">
    <w:name w:val="Medium List 1"/>
    <w:basedOn w:val="Tablanormal"/>
    <w:uiPriority w:val="65"/>
    <w:rsid w:val="00070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dominguez@ifarhu.gob.p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quintero@ifarhu.gob.p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p.gov.sg/content/scp/courses_offered_applicationprocedure/application_procedur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C64A-AA7E-4431-9BD8-DDCE37DE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2015-05-06T19:07:00Z</dcterms:created>
  <dcterms:modified xsi:type="dcterms:W3CDTF">2015-05-06T19:07:00Z</dcterms:modified>
</cp:coreProperties>
</file>